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4F1C47" w14:textId="0B2745E8" w:rsidR="00D51F63" w:rsidRDefault="00B50C5F" w:rsidP="00D51F63">
      <w:pPr>
        <w:pStyle w:val="CRCoverPage"/>
        <w:tabs>
          <w:tab w:val="right" w:pos="9639"/>
        </w:tabs>
        <w:spacing w:after="0"/>
        <w:rPr>
          <w:b/>
          <w:i/>
          <w:noProof/>
          <w:sz w:val="28"/>
        </w:rPr>
      </w:pPr>
      <w:r>
        <w:rPr>
          <w:b/>
          <w:noProof/>
          <w:sz w:val="24"/>
        </w:rPr>
        <w:t xml:space="preserve">3GPP </w:t>
      </w:r>
      <w:r w:rsidR="00D51F63">
        <w:rPr>
          <w:b/>
          <w:noProof/>
          <w:sz w:val="24"/>
        </w:rPr>
        <w:t>SA WG2 Meeting #1</w:t>
      </w:r>
      <w:r w:rsidR="00BC32E9">
        <w:rPr>
          <w:b/>
          <w:noProof/>
          <w:sz w:val="24"/>
        </w:rPr>
        <w:t>70</w:t>
      </w:r>
      <w:r w:rsidR="00D51F63">
        <w:rPr>
          <w:b/>
          <w:i/>
          <w:noProof/>
          <w:sz w:val="28"/>
        </w:rPr>
        <w:tab/>
      </w:r>
      <w:r w:rsidR="00D51F63" w:rsidRPr="00CC0E3A">
        <w:fldChar w:fldCharType="begin"/>
      </w:r>
      <w:r w:rsidR="00D51F63" w:rsidRPr="00CC0E3A">
        <w:instrText xml:space="preserve"> DOCPROPERTY  Tdoc#  \* MERGEFORMAT </w:instrText>
      </w:r>
      <w:r w:rsidR="00D51F63" w:rsidRPr="00CC0E3A">
        <w:fldChar w:fldCharType="end"/>
      </w:r>
      <w:r w:rsidR="00D51F63" w:rsidRPr="00CC0E3A">
        <w:rPr>
          <w:b/>
          <w:noProof/>
          <w:sz w:val="28"/>
        </w:rPr>
        <w:t>S2-2</w:t>
      </w:r>
      <w:r w:rsidR="00BE662E">
        <w:rPr>
          <w:b/>
          <w:noProof/>
          <w:sz w:val="28"/>
        </w:rPr>
        <w:t>50</w:t>
      </w:r>
      <w:r w:rsidR="006D21B4">
        <w:rPr>
          <w:b/>
          <w:noProof/>
          <w:sz w:val="28"/>
        </w:rPr>
        <w:t>7953</w:t>
      </w:r>
      <w:bookmarkStart w:id="0" w:name="_GoBack"/>
      <w:bookmarkEnd w:id="0"/>
    </w:p>
    <w:p w14:paraId="7CB45193" w14:textId="5E675826" w:rsidR="001E41F3" w:rsidRDefault="00C55ADB" w:rsidP="00C55ADB">
      <w:pPr>
        <w:pStyle w:val="CRCoverPage"/>
        <w:jc w:val="distribute"/>
        <w:outlineLvl w:val="0"/>
        <w:rPr>
          <w:b/>
          <w:noProof/>
          <w:sz w:val="24"/>
        </w:rPr>
      </w:pPr>
      <w:r w:rsidRPr="00C55ADB">
        <w:rPr>
          <w:rFonts w:cs="Arial"/>
          <w:b/>
          <w:bCs/>
          <w:sz w:val="24"/>
        </w:rPr>
        <w:t>25 - 29 August, 2025, Goteborg, Sweden</w:t>
      </w:r>
      <w:r w:rsidR="001046A0">
        <w:rPr>
          <w:b/>
          <w:noProof/>
          <w:sz w:val="24"/>
        </w:rPr>
        <w:tab/>
      </w:r>
      <w:r w:rsidR="001046A0">
        <w:rPr>
          <w:b/>
          <w:noProof/>
          <w:sz w:val="24"/>
        </w:rPr>
        <w:tab/>
      </w:r>
      <w:r w:rsidR="001046A0">
        <w:rPr>
          <w:b/>
          <w:noProof/>
          <w:sz w:val="24"/>
        </w:rPr>
        <w:tab/>
      </w:r>
      <w:r w:rsidR="001046A0">
        <w:rPr>
          <w:b/>
          <w:noProof/>
          <w:sz w:val="24"/>
        </w:rPr>
        <w:tab/>
      </w:r>
      <w:r w:rsidR="001046A0">
        <w:rPr>
          <w:b/>
          <w:noProof/>
          <w:sz w:val="24"/>
        </w:rPr>
        <w:tab/>
      </w:r>
      <w:r w:rsidR="001046A0">
        <w:rPr>
          <w:b/>
          <w:noProof/>
          <w:sz w:val="24"/>
        </w:rPr>
        <w:tab/>
      </w:r>
      <w:r w:rsidR="001046A0">
        <w:rPr>
          <w:b/>
          <w:noProof/>
          <w:sz w:val="24"/>
        </w:rPr>
        <w:tab/>
      </w:r>
      <w:r w:rsidR="001046A0">
        <w:rPr>
          <w:b/>
          <w:noProof/>
          <w:sz w:val="24"/>
        </w:rPr>
        <w:tab/>
      </w:r>
      <w:r w:rsidR="001046A0">
        <w:rPr>
          <w:b/>
          <w:noProof/>
          <w:sz w:val="24"/>
        </w:rPr>
        <w:tab/>
      </w:r>
      <w:r>
        <w:rPr>
          <w:b/>
          <w:noProof/>
          <w:sz w:val="24"/>
        </w:rPr>
        <w:t xml:space="preserve"> </w:t>
      </w:r>
      <w:r w:rsidR="00EF410D">
        <w:rPr>
          <w:b/>
          <w:noProof/>
          <w:sz w:val="24"/>
        </w:rPr>
        <w:t xml:space="preserve"> </w:t>
      </w:r>
      <w:r w:rsidR="00A95B67">
        <w:rPr>
          <w:b/>
          <w:noProof/>
          <w:sz w:val="24"/>
        </w:rPr>
        <w:tab/>
      </w:r>
      <w:r w:rsidR="001046A0" w:rsidRPr="002F7F19">
        <w:rPr>
          <w:rFonts w:cs="Arial"/>
          <w:b/>
          <w:bCs/>
          <w:color w:val="0000FF"/>
        </w:rPr>
        <w:t>(revision of</w:t>
      </w:r>
      <w:r w:rsidR="00654A62" w:rsidRPr="00654A62">
        <w:t xml:space="preserve"> </w:t>
      </w:r>
      <w:r w:rsidR="00654A62" w:rsidRPr="00654A62">
        <w:rPr>
          <w:rFonts w:cs="Arial"/>
          <w:b/>
          <w:bCs/>
          <w:color w:val="0000FF"/>
        </w:rPr>
        <w:t>S2-2506379</w:t>
      </w:r>
      <w:r w:rsidR="001046A0" w:rsidRPr="002F7F19">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24FD20" w:rsidR="001E41F3" w:rsidRPr="00410371" w:rsidRDefault="00FD21F3" w:rsidP="00E13F3D">
            <w:pPr>
              <w:pStyle w:val="CRCoverPage"/>
              <w:spacing w:after="0"/>
              <w:jc w:val="right"/>
              <w:rPr>
                <w:b/>
                <w:noProof/>
                <w:sz w:val="28"/>
              </w:rPr>
            </w:pPr>
            <w:fldSimple w:instr=" DOCPROPERTY  Spec#  \* MERGEFORMAT ">
              <w:r w:rsidR="00E13F3D" w:rsidRPr="00410371">
                <w:rPr>
                  <w:b/>
                  <w:noProof/>
                  <w:sz w:val="28"/>
                </w:rPr>
                <w:t>23.</w:t>
              </w:r>
              <w:r w:rsidR="000A44D5">
                <w:rPr>
                  <w:b/>
                  <w:noProof/>
                  <w:sz w:val="28"/>
                </w:rPr>
                <w:t>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C419D8" w:rsidR="001E41F3" w:rsidRPr="00746249" w:rsidRDefault="00EF1103" w:rsidP="00746249">
            <w:pPr>
              <w:pStyle w:val="CRCoverPage"/>
              <w:spacing w:after="0"/>
              <w:jc w:val="center"/>
              <w:rPr>
                <w:b/>
                <w:noProof/>
                <w:sz w:val="28"/>
              </w:rPr>
            </w:pPr>
            <w:r>
              <w:rPr>
                <w:b/>
                <w:noProof/>
                <w:sz w:val="28"/>
              </w:rPr>
              <w:t>1498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D6970F" w:rsidR="001E41F3" w:rsidRPr="00654A62" w:rsidRDefault="00654A62" w:rsidP="00746249">
            <w:pPr>
              <w:pStyle w:val="CRCoverPage"/>
              <w:spacing w:after="0"/>
              <w:jc w:val="center"/>
              <w:rPr>
                <w:rFonts w:eastAsia="宋体"/>
                <w:b/>
                <w:noProof/>
                <w:sz w:val="28"/>
                <w:lang w:eastAsia="zh-CN"/>
              </w:rPr>
            </w:pPr>
            <w:r>
              <w:rPr>
                <w:rFonts w:eastAsia="宋体"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4E18AE" w:rsidR="001E41F3" w:rsidRPr="00410371" w:rsidRDefault="00FD21F3">
            <w:pPr>
              <w:pStyle w:val="CRCoverPage"/>
              <w:spacing w:after="0"/>
              <w:jc w:val="center"/>
              <w:rPr>
                <w:noProof/>
                <w:sz w:val="28"/>
              </w:rPr>
            </w:pPr>
            <w:fldSimple w:instr=" DOCPROPERTY  Version  \* MERGEFORMAT ">
              <w:r w:rsidR="00E13F3D" w:rsidRPr="00410371">
                <w:rPr>
                  <w:b/>
                  <w:noProof/>
                  <w:sz w:val="28"/>
                </w:rPr>
                <w:t>1</w:t>
              </w:r>
              <w:r w:rsidR="000A44D5">
                <w:rPr>
                  <w:b/>
                  <w:noProof/>
                  <w:sz w:val="28"/>
                </w:rPr>
                <w:t>8</w:t>
              </w:r>
              <w:r w:rsidR="00E13F3D" w:rsidRPr="00410371">
                <w:rPr>
                  <w:b/>
                  <w:noProof/>
                  <w:sz w:val="28"/>
                </w:rPr>
                <w:t>.</w:t>
              </w:r>
              <w:r w:rsidR="00EF1103">
                <w:rPr>
                  <w:b/>
                  <w:noProof/>
                  <w:sz w:val="28"/>
                </w:rPr>
                <w:t>10</w:t>
              </w:r>
              <w:r w:rsidR="00E13F3D" w:rsidRPr="00410371">
                <w:rPr>
                  <w:b/>
                  <w:noProof/>
                  <w:sz w:val="28"/>
                </w:rPr>
                <w:t>.</w:t>
              </w:r>
              <w:r w:rsidR="00F44E3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588642" w:rsidR="00F25D98" w:rsidRPr="001D3FB2" w:rsidRDefault="001D3FB2" w:rsidP="001E41F3">
            <w:pPr>
              <w:pStyle w:val="CRCoverPage"/>
              <w:spacing w:after="0"/>
              <w:jc w:val="center"/>
              <w:rPr>
                <w:rFonts w:eastAsia="宋体"/>
                <w:b/>
                <w:bCs/>
                <w:caps/>
                <w:noProof/>
                <w:lang w:eastAsia="zh-CN"/>
              </w:rPr>
            </w:pPr>
            <w:r>
              <w:rPr>
                <w:rFonts w:eastAsia="宋体"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ABF4A9" w:rsidR="001E41F3" w:rsidRDefault="004D702A">
            <w:pPr>
              <w:pStyle w:val="CRCoverPage"/>
              <w:spacing w:after="0"/>
              <w:ind w:left="100"/>
              <w:rPr>
                <w:noProof/>
              </w:rPr>
            </w:pPr>
            <w:r w:rsidRPr="004D702A">
              <w:t>Correction on confidence of prediction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05A3B7" w:rsidR="001E41F3" w:rsidRPr="0058611C" w:rsidRDefault="0058611C">
            <w:pPr>
              <w:pStyle w:val="CRCoverPage"/>
              <w:spacing w:after="0"/>
              <w:ind w:left="100"/>
              <w:rPr>
                <w:noProof/>
                <w:lang w:eastAsia="ko-KR"/>
              </w:rPr>
            </w:pPr>
            <w:r>
              <w:rPr>
                <w:rFonts w:hint="eastAsia"/>
                <w:noProof/>
                <w:lang w:eastAsia="ko-KR"/>
              </w:rPr>
              <w:t>v</w:t>
            </w:r>
            <w:r w:rsidR="00966B2B">
              <w:rPr>
                <w:rFonts w:eastAsia="宋体"/>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73B61" w:rsidR="001E41F3" w:rsidRDefault="006B1514" w:rsidP="00547111">
            <w:pPr>
              <w:pStyle w:val="CRCoverPage"/>
              <w:spacing w:after="0"/>
              <w:ind w:left="100"/>
              <w:rPr>
                <w:noProof/>
              </w:rPr>
            </w:pPr>
            <w:r>
              <w:rPr>
                <w:rFonts w:hint="eastAsia"/>
                <w:lang w:eastAsia="ko-KR"/>
              </w:rPr>
              <w:t>SA2</w:t>
            </w:r>
            <w:r w:rsidR="00AC6D53">
              <w:fldChar w:fldCharType="begin"/>
            </w:r>
            <w:r w:rsidR="00AC6D53">
              <w:instrText xml:space="preserve"> DOCPROPERTY  SourceIfTsg  \* MERGEFORMAT </w:instrText>
            </w:r>
            <w:r w:rsidR="00AC6D5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53124F" w:rsidR="001E41F3" w:rsidRDefault="00FD21F3">
            <w:pPr>
              <w:pStyle w:val="CRCoverPage"/>
              <w:spacing w:after="0"/>
              <w:ind w:left="100"/>
              <w:rPr>
                <w:noProof/>
              </w:rPr>
            </w:pPr>
            <w:fldSimple w:instr=" DOCPROPERTY  RelatedWis  \* MERGEFORMAT ">
              <w:r w:rsidR="00F87167" w:rsidRPr="00F87167">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13C001" w:rsidR="001E41F3" w:rsidRDefault="00FD21F3">
            <w:pPr>
              <w:pStyle w:val="CRCoverPage"/>
              <w:spacing w:after="0"/>
              <w:ind w:left="100"/>
              <w:rPr>
                <w:noProof/>
              </w:rPr>
            </w:pPr>
            <w:fldSimple w:instr=" DOCPROPERTY  ResDate  \* MERGEFORMAT ">
              <w:r w:rsidR="00D24991">
                <w:rPr>
                  <w:noProof/>
                </w:rPr>
                <w:t>202</w:t>
              </w:r>
              <w:r w:rsidR="0049341D">
                <w:rPr>
                  <w:noProof/>
                </w:rPr>
                <w:t>5</w:t>
              </w:r>
              <w:r w:rsidR="00D24991">
                <w:rPr>
                  <w:noProof/>
                </w:rPr>
                <w:t>-0</w:t>
              </w:r>
              <w:r w:rsidR="00EF1103">
                <w:rPr>
                  <w:noProof/>
                </w:rPr>
                <w:t>8</w:t>
              </w:r>
              <w:r w:rsidR="00D24991">
                <w:rPr>
                  <w:noProof/>
                </w:rPr>
                <w:t>-</w:t>
              </w:r>
              <w:r w:rsidR="00AE1F3F">
                <w:rPr>
                  <w:noProof/>
                </w:rPr>
                <w:t>1</w:t>
              </w:r>
              <w:r w:rsidR="00EF1103">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24B4AA" w:rsidR="001E41F3" w:rsidRDefault="0049341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90D9C3" w:rsidR="001E41F3" w:rsidRDefault="00FD21F3">
            <w:pPr>
              <w:pStyle w:val="CRCoverPage"/>
              <w:spacing w:after="0"/>
              <w:ind w:left="100"/>
              <w:rPr>
                <w:noProof/>
              </w:rPr>
            </w:pPr>
            <w:fldSimple w:instr=" DOCPROPERTY  Release  \* MERGEFORMAT ">
              <w:r w:rsidR="00D24991">
                <w:rPr>
                  <w:noProof/>
                </w:rPr>
                <w:t>Rel-1</w:t>
              </w:r>
              <w:r w:rsidR="0019797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D6C894" w:rsidR="003D3775" w:rsidRPr="00D210F2" w:rsidRDefault="00DF2E9F" w:rsidP="00FD21F3">
            <w:pPr>
              <w:pStyle w:val="CRCoverPage"/>
              <w:spacing w:after="0"/>
              <w:ind w:left="100"/>
              <w:rPr>
                <w:rFonts w:eastAsia="宋体"/>
                <w:noProof/>
                <w:lang w:eastAsia="zh-CN"/>
              </w:rPr>
            </w:pPr>
            <w:r w:rsidRPr="00DF2E9F">
              <w:rPr>
                <w:rFonts w:eastAsia="宋体"/>
                <w:noProof/>
                <w:lang w:eastAsia="zh-CN"/>
              </w:rPr>
              <w:t>Some output analytics definitions omit the confidence of predictions, or specify it at an inappropriate granularity.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8CEE92" w:rsidR="000B40DC" w:rsidRPr="00776149" w:rsidRDefault="00776149" w:rsidP="006B1514">
            <w:pPr>
              <w:pStyle w:val="CRCoverPage"/>
              <w:spacing w:after="0"/>
              <w:ind w:left="100"/>
              <w:rPr>
                <w:rFonts w:eastAsia="宋体"/>
                <w:noProof/>
                <w:lang w:eastAsia="zh-CN"/>
              </w:rPr>
            </w:pPr>
            <w:r>
              <w:rPr>
                <w:rFonts w:eastAsia="宋体"/>
                <w:noProof/>
                <w:lang w:eastAsia="zh-CN"/>
              </w:rPr>
              <w:t>Add the missing  confidence in output analytics.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831A4F" w:rsidR="000B40DC" w:rsidRPr="000B40DC" w:rsidRDefault="003A39A3" w:rsidP="00EF1067">
            <w:pPr>
              <w:pStyle w:val="CRCoverPage"/>
              <w:spacing w:after="0"/>
              <w:ind w:left="100"/>
              <w:rPr>
                <w:rFonts w:eastAsia="宋体"/>
                <w:noProof/>
                <w:lang w:eastAsia="zh-CN"/>
              </w:rPr>
            </w:pPr>
            <w:r>
              <w:rPr>
                <w:rFonts w:eastAsia="宋体"/>
                <w:noProof/>
                <w:lang w:eastAsia="zh-CN"/>
              </w:rPr>
              <w:t>C</w:t>
            </w:r>
            <w:r w:rsidR="00EF1067" w:rsidRPr="00EF1067">
              <w:rPr>
                <w:rFonts w:eastAsia="宋体"/>
                <w:noProof/>
                <w:lang w:eastAsia="zh-CN"/>
              </w:rPr>
              <w:t>onsumers of NWDAF analytics may misinterpret the reliability of the predictions</w:t>
            </w:r>
            <w:r w:rsidR="00B5450F">
              <w:rPr>
                <w:rFonts w:eastAsia="宋体"/>
                <w:noProof/>
                <w:lang w:eastAsia="zh-CN"/>
              </w:rPr>
              <w:t xml:space="preserve"> and affect the </w:t>
            </w:r>
            <w:r w:rsidR="00EF1067" w:rsidRPr="00EF1067">
              <w:rPr>
                <w:rFonts w:eastAsia="宋体"/>
                <w:noProof/>
                <w:lang w:eastAsia="zh-CN"/>
              </w:rPr>
              <w:t>management decisions.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E1E757" w:rsidR="001E41F3" w:rsidRPr="00181814" w:rsidRDefault="00F4256B">
            <w:pPr>
              <w:pStyle w:val="CRCoverPage"/>
              <w:spacing w:after="0"/>
              <w:ind w:left="100"/>
              <w:rPr>
                <w:rFonts w:eastAsia="宋体"/>
                <w:noProof/>
                <w:lang w:eastAsia="zh-CN"/>
              </w:rPr>
            </w:pPr>
            <w:r>
              <w:rPr>
                <w:rFonts w:eastAsia="宋体"/>
                <w:noProof/>
                <w:lang w:eastAsia="zh-CN"/>
              </w:rPr>
              <w:t>6.7.3.3, 6.11.3,</w:t>
            </w:r>
            <w:r w:rsidR="009A66C6">
              <w:rPr>
                <w:rFonts w:eastAsia="宋体"/>
                <w:noProof/>
                <w:lang w:eastAsia="zh-CN"/>
              </w:rPr>
              <w:t xml:space="preserve"> </w:t>
            </w:r>
            <w:r>
              <w:rPr>
                <w:rFonts w:eastAsia="宋体"/>
                <w:noProof/>
                <w:lang w:eastAsia="zh-CN"/>
              </w:rPr>
              <w:t>6.18.3, 6.21.3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45FEC0" w:rsidR="00F44E3D" w:rsidRPr="00F44E3D" w:rsidRDefault="00F44E3D">
            <w:pPr>
              <w:pStyle w:val="CRCoverPage"/>
              <w:spacing w:after="0"/>
              <w:ind w:left="100"/>
              <w:rPr>
                <w:rFonts w:eastAsia="宋体"/>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D0F6C53" w14:textId="25F3FC23" w:rsidR="006B1514" w:rsidRPr="00A968F8"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D339A">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 * * *</w:t>
      </w:r>
    </w:p>
    <w:p w14:paraId="6CC039CD" w14:textId="77777777" w:rsidR="007E0A80" w:rsidRPr="007E0A80" w:rsidRDefault="007E0A80" w:rsidP="007E0A80">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2" w:name="_Toc201137322"/>
      <w:bookmarkStart w:id="3" w:name="_CRTable6_7_2_32"/>
      <w:r w:rsidRPr="007E0A80">
        <w:rPr>
          <w:rFonts w:ascii="Arial" w:eastAsia="等线" w:hAnsi="Arial"/>
          <w:sz w:val="24"/>
          <w:lang w:eastAsia="zh-CN"/>
        </w:rPr>
        <w:t>6.7.3.3</w:t>
      </w:r>
      <w:r w:rsidRPr="007E0A80">
        <w:rPr>
          <w:rFonts w:ascii="Arial" w:eastAsia="等线" w:hAnsi="Arial"/>
          <w:sz w:val="24"/>
          <w:lang w:eastAsia="zh-CN"/>
        </w:rPr>
        <w:tab/>
        <w:t>Output Analytics</w:t>
      </w:r>
    </w:p>
    <w:p w14:paraId="25766A3B" w14:textId="77777777" w:rsidR="007E0A80" w:rsidRPr="007E0A80" w:rsidRDefault="007E0A80" w:rsidP="007E0A80">
      <w:pPr>
        <w:overflowPunct w:val="0"/>
        <w:autoSpaceDE w:val="0"/>
        <w:autoSpaceDN w:val="0"/>
        <w:adjustRightInd w:val="0"/>
        <w:textAlignment w:val="baseline"/>
        <w:rPr>
          <w:rFonts w:eastAsia="等线"/>
          <w:lang w:eastAsia="zh-CN"/>
        </w:rPr>
      </w:pPr>
      <w:r w:rsidRPr="007E0A80">
        <w:rPr>
          <w:rFonts w:eastAsia="等线"/>
          <w:lang w:eastAsia="zh-CN"/>
        </w:rPr>
        <w:t xml:space="preserve">The NWDAF supporting UE Communication Analytics provides the analytics results to consumer NFs. </w:t>
      </w:r>
      <w:r w:rsidRPr="007E0A80">
        <w:rPr>
          <w:rFonts w:eastAsia="等线"/>
          <w:lang w:eastAsia="en-GB"/>
        </w:rPr>
        <w:t xml:space="preserve">The </w:t>
      </w:r>
      <w:r w:rsidRPr="007E0A80">
        <w:rPr>
          <w:rFonts w:eastAsia="等线"/>
          <w:lang w:eastAsia="zh-CN"/>
        </w:rPr>
        <w:t>analytics results</w:t>
      </w:r>
      <w:r w:rsidRPr="007E0A80">
        <w:rPr>
          <w:rFonts w:eastAsia="等线"/>
          <w:lang w:eastAsia="en-GB"/>
        </w:rPr>
        <w:t xml:space="preserve"> </w:t>
      </w:r>
      <w:r w:rsidRPr="007E0A80">
        <w:rPr>
          <w:rFonts w:eastAsia="等线"/>
          <w:lang w:eastAsia="zh-CN"/>
        </w:rPr>
        <w:t>provided</w:t>
      </w:r>
      <w:r w:rsidRPr="007E0A80">
        <w:rPr>
          <w:rFonts w:eastAsia="等线"/>
          <w:lang w:eastAsia="en-GB"/>
        </w:rPr>
        <w:t xml:space="preserve"> by the NWDAF</w:t>
      </w:r>
      <w:r w:rsidRPr="007E0A80">
        <w:rPr>
          <w:rFonts w:eastAsia="等线"/>
          <w:lang w:eastAsia="zh-CN"/>
        </w:rPr>
        <w:t xml:space="preserve"> include the UE communication statistics as defined in Table 6.7.3.3-1 or predictions as defined in Table 6.7.3.3-2.</w:t>
      </w:r>
    </w:p>
    <w:p w14:paraId="4AD61D8B" w14:textId="77777777" w:rsidR="007E0A80" w:rsidRPr="007E0A80" w:rsidRDefault="007E0A80" w:rsidP="007E0A80">
      <w:pPr>
        <w:keepNext/>
        <w:keepLines/>
        <w:overflowPunct w:val="0"/>
        <w:autoSpaceDE w:val="0"/>
        <w:autoSpaceDN w:val="0"/>
        <w:adjustRightInd w:val="0"/>
        <w:spacing w:before="60"/>
        <w:jc w:val="center"/>
        <w:textAlignment w:val="baseline"/>
        <w:rPr>
          <w:rFonts w:ascii="Arial" w:eastAsia="等线" w:hAnsi="Arial"/>
          <w:b/>
          <w:lang w:eastAsia="zh-CN"/>
        </w:rPr>
      </w:pPr>
      <w:bookmarkStart w:id="4" w:name="_CRTable6_7_3_31"/>
      <w:r w:rsidRPr="007E0A80">
        <w:rPr>
          <w:rFonts w:ascii="Arial" w:eastAsia="等线" w:hAnsi="Arial"/>
          <w:b/>
          <w:lang w:eastAsia="en-GB"/>
        </w:rPr>
        <w:t>Table</w:t>
      </w:r>
      <w:r w:rsidRPr="007E0A80">
        <w:rPr>
          <w:rFonts w:ascii="Arial" w:eastAsia="等线" w:hAnsi="Arial"/>
          <w:b/>
          <w:lang w:eastAsia="zh-CN"/>
        </w:rPr>
        <w:t xml:space="preserve"> </w:t>
      </w:r>
      <w:bookmarkEnd w:id="4"/>
      <w:r w:rsidRPr="007E0A80">
        <w:rPr>
          <w:rFonts w:ascii="Arial" w:eastAsia="等线" w:hAnsi="Arial"/>
          <w:b/>
          <w:lang w:eastAsia="zh-CN"/>
        </w:rPr>
        <w:t>6.7.3.3-1</w:t>
      </w:r>
      <w:r w:rsidRPr="007E0A80">
        <w:rPr>
          <w:rFonts w:ascii="Arial" w:eastAsia="等线" w:hAnsi="Arial"/>
          <w:b/>
          <w:lang w:eastAsia="en-GB"/>
        </w:rPr>
        <w:t xml:space="preserve">: </w:t>
      </w:r>
      <w:r w:rsidRPr="007E0A80">
        <w:rPr>
          <w:rFonts w:ascii="Arial" w:eastAsia="等线" w:hAnsi="Arial"/>
          <w:b/>
          <w:lang w:eastAsia="zh-CN"/>
        </w:rPr>
        <w:t>UE Communication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8"/>
        <w:gridCol w:w="6321"/>
      </w:tblGrid>
      <w:tr w:rsidR="007E0A80" w:rsidRPr="007E0A80" w14:paraId="72AA112A" w14:textId="77777777" w:rsidTr="00532B9D">
        <w:trPr>
          <w:jc w:val="center"/>
        </w:trPr>
        <w:tc>
          <w:tcPr>
            <w:tcW w:w="3309" w:type="dxa"/>
          </w:tcPr>
          <w:p w14:paraId="13383B9C" w14:textId="77777777" w:rsidR="007E0A80" w:rsidRPr="007E0A80" w:rsidRDefault="007E0A80" w:rsidP="007E0A80">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0A80">
              <w:rPr>
                <w:rFonts w:ascii="Arial" w:eastAsia="等线" w:hAnsi="Arial"/>
                <w:b/>
                <w:sz w:val="18"/>
                <w:lang w:eastAsia="en-GB"/>
              </w:rPr>
              <w:t>Information</w:t>
            </w:r>
          </w:p>
        </w:tc>
        <w:tc>
          <w:tcPr>
            <w:tcW w:w="6322" w:type="dxa"/>
          </w:tcPr>
          <w:p w14:paraId="6F53888A" w14:textId="77777777" w:rsidR="007E0A80" w:rsidRPr="007E0A80" w:rsidRDefault="007E0A80" w:rsidP="007E0A80">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0A80">
              <w:rPr>
                <w:rFonts w:ascii="Arial" w:eastAsia="等线" w:hAnsi="Arial"/>
                <w:b/>
                <w:sz w:val="18"/>
                <w:lang w:eastAsia="en-GB"/>
              </w:rPr>
              <w:t>Description</w:t>
            </w:r>
          </w:p>
        </w:tc>
      </w:tr>
      <w:tr w:rsidR="007E0A80" w:rsidRPr="007E0A80" w14:paraId="5ED2F0F1" w14:textId="77777777" w:rsidTr="00532B9D">
        <w:trPr>
          <w:jc w:val="center"/>
        </w:trPr>
        <w:tc>
          <w:tcPr>
            <w:tcW w:w="3309" w:type="dxa"/>
          </w:tcPr>
          <w:p w14:paraId="01615BFE"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zh-CN"/>
              </w:rPr>
              <w:t>UE group ID or UE ID</w:t>
            </w:r>
          </w:p>
        </w:tc>
        <w:tc>
          <w:tcPr>
            <w:tcW w:w="6322" w:type="dxa"/>
          </w:tcPr>
          <w:p w14:paraId="0F12C9C3"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Identifies the UE(s) for which the statistic applies by a list of SUPIs, or a group of UEs by a list of Internal-Group-Ids defined in clause 5.9.7 of TS 23.501 [2].</w:t>
            </w:r>
          </w:p>
        </w:tc>
      </w:tr>
      <w:tr w:rsidR="007E0A80" w:rsidRPr="007E0A80" w14:paraId="3D529752" w14:textId="77777777" w:rsidTr="00532B9D">
        <w:trPr>
          <w:jc w:val="center"/>
        </w:trPr>
        <w:tc>
          <w:tcPr>
            <w:tcW w:w="3309" w:type="dxa"/>
          </w:tcPr>
          <w:p w14:paraId="5D722E3F"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UE communications (</w:t>
            </w:r>
            <w:proofErr w:type="gramStart"/>
            <w:r w:rsidRPr="007E0A80">
              <w:rPr>
                <w:rFonts w:ascii="Arial" w:eastAsia="等线" w:hAnsi="Arial"/>
                <w:sz w:val="18"/>
                <w:lang w:eastAsia="zh-CN"/>
              </w:rPr>
              <w:t>1..</w:t>
            </w:r>
            <w:proofErr w:type="gramEnd"/>
            <w:r w:rsidRPr="007E0A80">
              <w:rPr>
                <w:rFonts w:ascii="Arial" w:eastAsia="等线" w:hAnsi="Arial"/>
                <w:sz w:val="18"/>
                <w:lang w:eastAsia="zh-CN"/>
              </w:rPr>
              <w:t>max) (NOTE 1)</w:t>
            </w:r>
          </w:p>
        </w:tc>
        <w:tc>
          <w:tcPr>
            <w:tcW w:w="6322" w:type="dxa"/>
          </w:tcPr>
          <w:p w14:paraId="0064FD35"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List of communication time slots.</w:t>
            </w:r>
          </w:p>
        </w:tc>
      </w:tr>
      <w:tr w:rsidR="007E0A80" w:rsidRPr="007E0A80" w14:paraId="44F51960" w14:textId="77777777" w:rsidTr="00532B9D">
        <w:trPr>
          <w:jc w:val="center"/>
        </w:trPr>
        <w:tc>
          <w:tcPr>
            <w:tcW w:w="3309" w:type="dxa"/>
          </w:tcPr>
          <w:p w14:paraId="2484000E"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 xml:space="preserve">  &gt;</w:t>
            </w:r>
            <w:r w:rsidRPr="007E0A80">
              <w:rPr>
                <w:rFonts w:ascii="Arial" w:eastAsia="等线" w:hAnsi="Arial"/>
                <w:sz w:val="18"/>
                <w:lang w:eastAsia="en-GB"/>
              </w:rPr>
              <w:t xml:space="preserve"> Periodic communication indicator (NOTE 1)</w:t>
            </w:r>
          </w:p>
        </w:tc>
        <w:tc>
          <w:tcPr>
            <w:tcW w:w="6322" w:type="dxa"/>
          </w:tcPr>
          <w:p w14:paraId="7702E416"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en-GB"/>
              </w:rPr>
              <w:t>Identifies whether the UE communicates periodically or not.</w:t>
            </w:r>
          </w:p>
        </w:tc>
      </w:tr>
      <w:tr w:rsidR="007E0A80" w:rsidRPr="007E0A80" w14:paraId="007B26F2" w14:textId="77777777" w:rsidTr="00532B9D">
        <w:trPr>
          <w:jc w:val="center"/>
        </w:trPr>
        <w:tc>
          <w:tcPr>
            <w:tcW w:w="3309" w:type="dxa"/>
          </w:tcPr>
          <w:p w14:paraId="09DB5B9C"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 xml:space="preserve">  &gt;</w:t>
            </w:r>
            <w:r w:rsidRPr="007E0A80">
              <w:rPr>
                <w:rFonts w:ascii="Arial" w:eastAsia="等线" w:hAnsi="Arial"/>
                <w:sz w:val="18"/>
                <w:lang w:eastAsia="en-GB"/>
              </w:rPr>
              <w:t xml:space="preserve"> Periodic time (NOTE 1)</w:t>
            </w:r>
          </w:p>
        </w:tc>
        <w:tc>
          <w:tcPr>
            <w:tcW w:w="6322" w:type="dxa"/>
          </w:tcPr>
          <w:p w14:paraId="3F561A15"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Interval Time of periodic communication (average and variance) if periodic.</w:t>
            </w:r>
          </w:p>
          <w:p w14:paraId="65336A1F"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en-GB"/>
              </w:rPr>
              <w:t>Example: every hour</w:t>
            </w:r>
          </w:p>
        </w:tc>
      </w:tr>
      <w:tr w:rsidR="007E0A80" w:rsidRPr="007E0A80" w14:paraId="1368D302" w14:textId="77777777" w:rsidTr="00532B9D">
        <w:trPr>
          <w:jc w:val="center"/>
        </w:trPr>
        <w:tc>
          <w:tcPr>
            <w:tcW w:w="3309" w:type="dxa"/>
          </w:tcPr>
          <w:p w14:paraId="0F91B2D0"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 xml:space="preserve">  &gt; Start time (NOTE 1)</w:t>
            </w:r>
          </w:p>
        </w:tc>
        <w:tc>
          <w:tcPr>
            <w:tcW w:w="6322" w:type="dxa"/>
          </w:tcPr>
          <w:p w14:paraId="63857F12"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Start time observed (average and variance)</w:t>
            </w:r>
          </w:p>
        </w:tc>
      </w:tr>
      <w:tr w:rsidR="007E0A80" w:rsidRPr="007E0A80" w14:paraId="30919DDB" w14:textId="77777777" w:rsidTr="00532B9D">
        <w:trPr>
          <w:jc w:val="center"/>
        </w:trPr>
        <w:tc>
          <w:tcPr>
            <w:tcW w:w="3309" w:type="dxa"/>
          </w:tcPr>
          <w:p w14:paraId="3773C074"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 xml:space="preserve">  &gt;</w:t>
            </w:r>
            <w:r w:rsidRPr="007E0A80">
              <w:rPr>
                <w:rFonts w:ascii="Arial" w:eastAsia="等线" w:hAnsi="Arial"/>
                <w:sz w:val="18"/>
                <w:lang w:eastAsia="en-GB"/>
              </w:rPr>
              <w:t xml:space="preserve"> Duration (NOTE 1)</w:t>
            </w:r>
          </w:p>
        </w:tc>
        <w:tc>
          <w:tcPr>
            <w:tcW w:w="6322" w:type="dxa"/>
          </w:tcPr>
          <w:p w14:paraId="6EAAFBFA"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en-GB"/>
              </w:rPr>
              <w:t>Duration of communication (average and variance).</w:t>
            </w:r>
          </w:p>
        </w:tc>
      </w:tr>
      <w:tr w:rsidR="007E0A80" w:rsidRPr="007E0A80" w14:paraId="26BAD766" w14:textId="77777777" w:rsidTr="00532B9D">
        <w:trPr>
          <w:jc w:val="center"/>
        </w:trPr>
        <w:tc>
          <w:tcPr>
            <w:tcW w:w="3309" w:type="dxa"/>
          </w:tcPr>
          <w:p w14:paraId="5D61B419"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 xml:space="preserve">  &gt;</w:t>
            </w:r>
            <w:r w:rsidRPr="007E0A80">
              <w:rPr>
                <w:rFonts w:ascii="Arial" w:eastAsia="等线" w:hAnsi="Arial"/>
                <w:sz w:val="18"/>
                <w:lang w:eastAsia="en-GB"/>
              </w:rPr>
              <w:t xml:space="preserve"> Traffic characterization</w:t>
            </w:r>
          </w:p>
        </w:tc>
        <w:tc>
          <w:tcPr>
            <w:tcW w:w="6322" w:type="dxa"/>
          </w:tcPr>
          <w:p w14:paraId="0846FF3F"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en-GB"/>
              </w:rPr>
              <w:t>S-NSSAI, DNN, ports, other useful information.</w:t>
            </w:r>
          </w:p>
        </w:tc>
      </w:tr>
      <w:tr w:rsidR="007E0A80" w:rsidRPr="007E0A80" w14:paraId="7305D3CE" w14:textId="77777777" w:rsidTr="00532B9D">
        <w:trPr>
          <w:jc w:val="center"/>
        </w:trPr>
        <w:tc>
          <w:tcPr>
            <w:tcW w:w="3309" w:type="dxa"/>
          </w:tcPr>
          <w:p w14:paraId="68E630C7"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 xml:space="preserve">  &gt; Traffic volume (NOTE 1)</w:t>
            </w:r>
          </w:p>
        </w:tc>
        <w:tc>
          <w:tcPr>
            <w:tcW w:w="6322" w:type="dxa"/>
          </w:tcPr>
          <w:p w14:paraId="61EA427E"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zh-CN"/>
              </w:rPr>
              <w:t>Volume UL/DL (</w:t>
            </w:r>
            <w:r w:rsidRPr="007E0A80">
              <w:rPr>
                <w:rFonts w:ascii="Arial" w:eastAsia="等线" w:hAnsi="Arial"/>
                <w:sz w:val="18"/>
                <w:lang w:eastAsia="en-GB"/>
              </w:rPr>
              <w:t>average and variance).</w:t>
            </w:r>
          </w:p>
        </w:tc>
      </w:tr>
      <w:tr w:rsidR="007E0A80" w:rsidRPr="007E0A80" w14:paraId="48B89140" w14:textId="77777777" w:rsidTr="00532B9D">
        <w:trPr>
          <w:jc w:val="center"/>
        </w:trPr>
        <w:tc>
          <w:tcPr>
            <w:tcW w:w="3309" w:type="dxa"/>
          </w:tcPr>
          <w:p w14:paraId="419B8597"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en-GB"/>
              </w:rPr>
              <w:t xml:space="preserve">  &gt; Ratio</w:t>
            </w:r>
          </w:p>
        </w:tc>
        <w:tc>
          <w:tcPr>
            <w:tcW w:w="6322" w:type="dxa"/>
          </w:tcPr>
          <w:p w14:paraId="0660C029"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en-GB"/>
              </w:rPr>
              <w:t>Percentage of UEs in the group (in the case of a UE group).</w:t>
            </w:r>
          </w:p>
        </w:tc>
      </w:tr>
      <w:tr w:rsidR="007E0A80" w:rsidRPr="007E0A80" w14:paraId="49CDAA58" w14:textId="77777777" w:rsidTr="00532B9D">
        <w:trPr>
          <w:jc w:val="center"/>
        </w:trPr>
        <w:tc>
          <w:tcPr>
            <w:tcW w:w="3309" w:type="dxa"/>
          </w:tcPr>
          <w:p w14:paraId="6BA93278"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zh-CN"/>
              </w:rPr>
              <w:t>Applications (</w:t>
            </w:r>
            <w:proofErr w:type="gramStart"/>
            <w:r w:rsidRPr="007E0A80">
              <w:rPr>
                <w:rFonts w:ascii="Arial" w:eastAsia="等线" w:hAnsi="Arial"/>
                <w:sz w:val="18"/>
                <w:lang w:eastAsia="zh-CN"/>
              </w:rPr>
              <w:t>0..</w:t>
            </w:r>
            <w:proofErr w:type="gramEnd"/>
            <w:r w:rsidRPr="007E0A80">
              <w:rPr>
                <w:rFonts w:ascii="Arial" w:eastAsia="等线" w:hAnsi="Arial"/>
                <w:sz w:val="18"/>
                <w:lang w:eastAsia="zh-CN"/>
              </w:rPr>
              <w:t>max) (NOTE 1)</w:t>
            </w:r>
          </w:p>
        </w:tc>
        <w:tc>
          <w:tcPr>
            <w:tcW w:w="6322" w:type="dxa"/>
          </w:tcPr>
          <w:p w14:paraId="550206DA"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hint="eastAsia"/>
                <w:sz w:val="18"/>
                <w:lang w:eastAsia="zh-CN"/>
              </w:rPr>
              <w:t>L</w:t>
            </w:r>
            <w:r w:rsidRPr="007E0A80">
              <w:rPr>
                <w:rFonts w:ascii="Arial" w:eastAsia="等线" w:hAnsi="Arial"/>
                <w:sz w:val="18"/>
                <w:lang w:eastAsia="zh-CN"/>
              </w:rPr>
              <w:t>ist of applications in use.</w:t>
            </w:r>
          </w:p>
        </w:tc>
      </w:tr>
      <w:tr w:rsidR="007E0A80" w:rsidRPr="007E0A80" w14:paraId="78E76B54" w14:textId="77777777" w:rsidTr="00532B9D">
        <w:trPr>
          <w:jc w:val="center"/>
        </w:trPr>
        <w:tc>
          <w:tcPr>
            <w:tcW w:w="3309" w:type="dxa"/>
          </w:tcPr>
          <w:p w14:paraId="720CC0F1"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hint="eastAsia"/>
                <w:sz w:val="18"/>
                <w:lang w:eastAsia="zh-CN"/>
              </w:rPr>
              <w:t xml:space="preserve"> </w:t>
            </w:r>
            <w:r w:rsidRPr="007E0A80">
              <w:rPr>
                <w:rFonts w:ascii="Arial" w:eastAsia="等线" w:hAnsi="Arial"/>
                <w:sz w:val="18"/>
                <w:lang w:eastAsia="zh-CN"/>
              </w:rPr>
              <w:t xml:space="preserve"> &gt; Application Id</w:t>
            </w:r>
          </w:p>
        </w:tc>
        <w:tc>
          <w:tcPr>
            <w:tcW w:w="6322" w:type="dxa"/>
          </w:tcPr>
          <w:p w14:paraId="6E52C89F"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hint="eastAsia"/>
                <w:sz w:val="18"/>
                <w:lang w:eastAsia="zh-CN"/>
              </w:rPr>
              <w:t>I</w:t>
            </w:r>
            <w:r w:rsidRPr="007E0A80">
              <w:rPr>
                <w:rFonts w:ascii="Arial" w:eastAsia="等线" w:hAnsi="Arial"/>
                <w:sz w:val="18"/>
                <w:lang w:eastAsia="zh-CN"/>
              </w:rPr>
              <w:t>dentification of the application.</w:t>
            </w:r>
          </w:p>
        </w:tc>
      </w:tr>
      <w:tr w:rsidR="007E0A80" w:rsidRPr="007E0A80" w14:paraId="5E3C5C2C" w14:textId="77777777" w:rsidTr="00532B9D">
        <w:trPr>
          <w:jc w:val="center"/>
        </w:trPr>
        <w:tc>
          <w:tcPr>
            <w:tcW w:w="3309" w:type="dxa"/>
          </w:tcPr>
          <w:p w14:paraId="610D6130"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hint="eastAsia"/>
                <w:sz w:val="18"/>
                <w:lang w:eastAsia="zh-CN"/>
              </w:rPr>
              <w:t xml:space="preserve"> </w:t>
            </w:r>
            <w:r w:rsidRPr="007E0A80">
              <w:rPr>
                <w:rFonts w:ascii="Arial" w:eastAsia="等线" w:hAnsi="Arial"/>
                <w:sz w:val="18"/>
                <w:lang w:eastAsia="zh-CN"/>
              </w:rPr>
              <w:t xml:space="preserve"> &gt; Start time</w:t>
            </w:r>
          </w:p>
        </w:tc>
        <w:tc>
          <w:tcPr>
            <w:tcW w:w="6322" w:type="dxa"/>
          </w:tcPr>
          <w:p w14:paraId="59564906"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hint="eastAsia"/>
                <w:sz w:val="18"/>
                <w:lang w:eastAsia="zh-CN"/>
              </w:rPr>
              <w:t>S</w:t>
            </w:r>
            <w:r w:rsidRPr="007E0A80">
              <w:rPr>
                <w:rFonts w:ascii="Arial" w:eastAsia="等线" w:hAnsi="Arial"/>
                <w:sz w:val="18"/>
                <w:lang w:eastAsia="zh-CN"/>
              </w:rPr>
              <w:t>tart time of the application.</w:t>
            </w:r>
          </w:p>
        </w:tc>
      </w:tr>
      <w:tr w:rsidR="007E0A80" w:rsidRPr="007E0A80" w14:paraId="5D824B5A" w14:textId="77777777" w:rsidTr="00532B9D">
        <w:trPr>
          <w:jc w:val="center"/>
        </w:trPr>
        <w:tc>
          <w:tcPr>
            <w:tcW w:w="3309" w:type="dxa"/>
          </w:tcPr>
          <w:p w14:paraId="4CA8DA87"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hint="eastAsia"/>
                <w:sz w:val="18"/>
                <w:lang w:eastAsia="zh-CN"/>
              </w:rPr>
              <w:t xml:space="preserve"> </w:t>
            </w:r>
            <w:r w:rsidRPr="007E0A80">
              <w:rPr>
                <w:rFonts w:ascii="Arial" w:eastAsia="等线" w:hAnsi="Arial"/>
                <w:sz w:val="18"/>
                <w:lang w:eastAsia="zh-CN"/>
              </w:rPr>
              <w:t xml:space="preserve"> &gt; Duration time</w:t>
            </w:r>
          </w:p>
        </w:tc>
        <w:tc>
          <w:tcPr>
            <w:tcW w:w="6322" w:type="dxa"/>
          </w:tcPr>
          <w:p w14:paraId="04D43F05"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hint="eastAsia"/>
                <w:sz w:val="18"/>
                <w:lang w:eastAsia="zh-CN"/>
              </w:rPr>
              <w:t>D</w:t>
            </w:r>
            <w:r w:rsidRPr="007E0A80">
              <w:rPr>
                <w:rFonts w:ascii="Arial" w:eastAsia="等线" w:hAnsi="Arial"/>
                <w:sz w:val="18"/>
                <w:lang w:eastAsia="zh-CN"/>
              </w:rPr>
              <w:t>uration interval time of the application.</w:t>
            </w:r>
          </w:p>
        </w:tc>
      </w:tr>
      <w:tr w:rsidR="007E0A80" w:rsidRPr="007E0A80" w14:paraId="3F6EC576" w14:textId="77777777" w:rsidTr="00532B9D">
        <w:trPr>
          <w:jc w:val="center"/>
        </w:trPr>
        <w:tc>
          <w:tcPr>
            <w:tcW w:w="3309" w:type="dxa"/>
          </w:tcPr>
          <w:p w14:paraId="6A919FCC"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hint="eastAsia"/>
                <w:sz w:val="18"/>
                <w:lang w:eastAsia="zh-CN"/>
              </w:rPr>
              <w:t xml:space="preserve"> </w:t>
            </w:r>
            <w:r w:rsidRPr="007E0A80">
              <w:rPr>
                <w:rFonts w:ascii="Arial" w:eastAsia="等线" w:hAnsi="Arial"/>
                <w:sz w:val="18"/>
                <w:lang w:eastAsia="zh-CN"/>
              </w:rPr>
              <w:t xml:space="preserve"> &gt; Occurrence ratio</w:t>
            </w:r>
          </w:p>
        </w:tc>
        <w:tc>
          <w:tcPr>
            <w:tcW w:w="6322" w:type="dxa"/>
          </w:tcPr>
          <w:p w14:paraId="6FAC48B9"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Proportion for the application used by the UE during requested period.</w:t>
            </w:r>
          </w:p>
        </w:tc>
      </w:tr>
      <w:tr w:rsidR="007E0A80" w:rsidRPr="007E0A80" w14:paraId="7758A2CC" w14:textId="77777777" w:rsidTr="00532B9D">
        <w:trPr>
          <w:jc w:val="center"/>
        </w:trPr>
        <w:tc>
          <w:tcPr>
            <w:tcW w:w="3309" w:type="dxa"/>
          </w:tcPr>
          <w:p w14:paraId="179A1B35"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hint="eastAsia"/>
                <w:sz w:val="18"/>
                <w:lang w:eastAsia="zh-CN"/>
              </w:rPr>
              <w:t xml:space="preserve"> </w:t>
            </w:r>
            <w:r w:rsidRPr="007E0A80">
              <w:rPr>
                <w:rFonts w:ascii="Arial" w:eastAsia="等线" w:hAnsi="Arial"/>
                <w:sz w:val="18"/>
                <w:lang w:eastAsia="zh-CN"/>
              </w:rPr>
              <w:t xml:space="preserve"> &gt; Spatial validity</w:t>
            </w:r>
          </w:p>
        </w:tc>
        <w:tc>
          <w:tcPr>
            <w:tcW w:w="6322" w:type="dxa"/>
          </w:tcPr>
          <w:p w14:paraId="0E1283D8"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hint="eastAsia"/>
                <w:sz w:val="18"/>
                <w:lang w:eastAsia="zh-CN"/>
              </w:rPr>
              <w:t>A</w:t>
            </w:r>
            <w:r w:rsidRPr="007E0A80">
              <w:rPr>
                <w:rFonts w:ascii="Arial" w:eastAsia="等线" w:hAnsi="Arial"/>
                <w:sz w:val="18"/>
                <w:lang w:eastAsia="zh-CN"/>
              </w:rPr>
              <w:t>rea where the service behaviour applies. If Area of Interest information was provided in the request or subscription, spatial validity may be a subset of the requested Area of Interest.</w:t>
            </w:r>
          </w:p>
        </w:tc>
      </w:tr>
      <w:tr w:rsidR="007E0A80" w:rsidRPr="007E0A80" w14:paraId="77E9E7B2" w14:textId="77777777" w:rsidTr="00532B9D">
        <w:trPr>
          <w:jc w:val="center"/>
        </w:trPr>
        <w:tc>
          <w:tcPr>
            <w:tcW w:w="3309" w:type="dxa"/>
          </w:tcPr>
          <w:p w14:paraId="1E6A6831"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Batang" w:hAnsi="Arial"/>
                <w:sz w:val="18"/>
                <w:lang w:eastAsia="en-GB"/>
              </w:rPr>
              <w:t>N4 Session ID (</w:t>
            </w:r>
            <w:proofErr w:type="gramStart"/>
            <w:r w:rsidRPr="007E0A80">
              <w:rPr>
                <w:rFonts w:ascii="Arial" w:eastAsia="Batang" w:hAnsi="Arial"/>
                <w:sz w:val="18"/>
                <w:lang w:eastAsia="en-GB"/>
              </w:rPr>
              <w:t>1..</w:t>
            </w:r>
            <w:proofErr w:type="gramEnd"/>
            <w:r w:rsidRPr="007E0A80">
              <w:rPr>
                <w:rFonts w:ascii="Arial" w:eastAsia="Batang" w:hAnsi="Arial"/>
                <w:sz w:val="18"/>
                <w:lang w:eastAsia="en-GB"/>
              </w:rPr>
              <w:t xml:space="preserve">max) </w:t>
            </w:r>
            <w:r w:rsidRPr="007E0A80">
              <w:rPr>
                <w:rFonts w:ascii="Arial" w:eastAsia="等线" w:hAnsi="Arial"/>
                <w:sz w:val="18"/>
                <w:lang w:eastAsia="zh-CN"/>
              </w:rPr>
              <w:t>(NOTE 1) (NOTE 2)</w:t>
            </w:r>
          </w:p>
        </w:tc>
        <w:tc>
          <w:tcPr>
            <w:tcW w:w="6322" w:type="dxa"/>
          </w:tcPr>
          <w:p w14:paraId="732BF1D8"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en-GB"/>
              </w:rPr>
              <w:t>Identification of N4 Session.</w:t>
            </w:r>
          </w:p>
        </w:tc>
      </w:tr>
      <w:tr w:rsidR="007E0A80" w:rsidRPr="007E0A80" w14:paraId="6A644EDD" w14:textId="77777777" w:rsidTr="00532B9D">
        <w:trPr>
          <w:jc w:val="center"/>
        </w:trPr>
        <w:tc>
          <w:tcPr>
            <w:tcW w:w="3309" w:type="dxa"/>
          </w:tcPr>
          <w:p w14:paraId="636A9E29" w14:textId="77777777" w:rsidR="007E0A80" w:rsidRPr="007E0A80" w:rsidRDefault="007E0A80" w:rsidP="007E0A80">
            <w:pPr>
              <w:keepNext/>
              <w:keepLines/>
              <w:overflowPunct w:val="0"/>
              <w:autoSpaceDE w:val="0"/>
              <w:autoSpaceDN w:val="0"/>
              <w:adjustRightInd w:val="0"/>
              <w:spacing w:after="0"/>
              <w:textAlignment w:val="baseline"/>
              <w:rPr>
                <w:rFonts w:ascii="Arial" w:eastAsia="Batang" w:hAnsi="Arial"/>
                <w:sz w:val="18"/>
                <w:lang w:eastAsia="en-GB"/>
              </w:rPr>
            </w:pPr>
            <w:r w:rsidRPr="007E0A80">
              <w:rPr>
                <w:rFonts w:ascii="Arial" w:eastAsia="Batang" w:hAnsi="Arial"/>
                <w:sz w:val="18"/>
                <w:lang w:eastAsia="en-GB"/>
              </w:rPr>
              <w:t>&gt; Inactivity detection time</w:t>
            </w:r>
          </w:p>
        </w:tc>
        <w:tc>
          <w:tcPr>
            <w:tcW w:w="6322" w:type="dxa"/>
          </w:tcPr>
          <w:p w14:paraId="0C426689"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Value of session inactivity timer (average and variance).</w:t>
            </w:r>
          </w:p>
        </w:tc>
      </w:tr>
      <w:tr w:rsidR="007E0A80" w:rsidRPr="007E0A80" w14:paraId="0DA4610B" w14:textId="77777777" w:rsidTr="00532B9D">
        <w:trPr>
          <w:jc w:val="center"/>
        </w:trPr>
        <w:tc>
          <w:tcPr>
            <w:tcW w:w="9631" w:type="dxa"/>
            <w:gridSpan w:val="2"/>
          </w:tcPr>
          <w:p w14:paraId="25325DDC" w14:textId="77777777" w:rsidR="007E0A80" w:rsidRPr="007E0A80" w:rsidRDefault="007E0A80" w:rsidP="007E0A80">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E0A80">
              <w:rPr>
                <w:rFonts w:ascii="Arial" w:eastAsia="等线" w:hAnsi="Arial"/>
                <w:sz w:val="18"/>
                <w:lang w:eastAsia="en-GB"/>
              </w:rPr>
              <w:t>NOTE 1:</w:t>
            </w:r>
            <w:r w:rsidRPr="007E0A80">
              <w:rPr>
                <w:rFonts w:ascii="Arial" w:eastAsia="等线" w:hAnsi="Arial"/>
                <w:sz w:val="18"/>
                <w:lang w:eastAsia="en-GB"/>
              </w:rPr>
              <w:tab/>
              <w:t>Analytics subset that can be used in "list of analytics subsets that are requested" and "Preferred level of accuracy per analytics subset".</w:t>
            </w:r>
          </w:p>
          <w:p w14:paraId="18479824" w14:textId="77777777" w:rsidR="007E0A80" w:rsidRPr="007E0A80" w:rsidRDefault="007E0A80" w:rsidP="007E0A80">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E0A80">
              <w:rPr>
                <w:rFonts w:ascii="Arial" w:eastAsia="等线" w:hAnsi="Arial"/>
                <w:sz w:val="18"/>
                <w:lang w:eastAsia="en-GB"/>
              </w:rPr>
              <w:t>NOTE 2:</w:t>
            </w:r>
            <w:r w:rsidRPr="007E0A80">
              <w:rPr>
                <w:rFonts w:ascii="Arial" w:eastAsia="等线" w:hAnsi="Arial"/>
                <w:sz w:val="18"/>
                <w:lang w:eastAsia="en-GB"/>
              </w:rPr>
              <w:tab/>
              <w:t>This analytics subset shall only be included if the consumer is SMF.</w:t>
            </w:r>
          </w:p>
        </w:tc>
      </w:tr>
    </w:tbl>
    <w:p w14:paraId="762B8CCE" w14:textId="77777777" w:rsidR="007E0A80" w:rsidRPr="007E0A80" w:rsidRDefault="007E0A80" w:rsidP="007E0A80">
      <w:pPr>
        <w:overflowPunct w:val="0"/>
        <w:autoSpaceDE w:val="0"/>
        <w:autoSpaceDN w:val="0"/>
        <w:adjustRightInd w:val="0"/>
        <w:spacing w:after="0"/>
        <w:textAlignment w:val="baseline"/>
        <w:rPr>
          <w:rFonts w:eastAsia="等线"/>
          <w:lang w:eastAsia="zh-CN"/>
        </w:rPr>
      </w:pPr>
    </w:p>
    <w:p w14:paraId="7FC5A24F" w14:textId="77777777" w:rsidR="007E0A80" w:rsidRPr="007E0A80" w:rsidRDefault="007E0A80" w:rsidP="007E0A80">
      <w:pPr>
        <w:keepNext/>
        <w:keepLines/>
        <w:overflowPunct w:val="0"/>
        <w:autoSpaceDE w:val="0"/>
        <w:autoSpaceDN w:val="0"/>
        <w:adjustRightInd w:val="0"/>
        <w:spacing w:before="60"/>
        <w:jc w:val="center"/>
        <w:textAlignment w:val="baseline"/>
        <w:rPr>
          <w:rFonts w:ascii="Arial" w:eastAsia="等线" w:hAnsi="Arial"/>
          <w:b/>
          <w:lang w:eastAsia="zh-CN"/>
        </w:rPr>
      </w:pPr>
      <w:r w:rsidRPr="007E0A80">
        <w:rPr>
          <w:rFonts w:ascii="Arial" w:eastAsia="等线" w:hAnsi="Arial"/>
          <w:b/>
          <w:lang w:eastAsia="en-GB"/>
        </w:rPr>
        <w:lastRenderedPageBreak/>
        <w:t>Table</w:t>
      </w:r>
      <w:r w:rsidRPr="007E0A80">
        <w:rPr>
          <w:rFonts w:ascii="Arial" w:eastAsia="等线" w:hAnsi="Arial"/>
          <w:b/>
          <w:lang w:eastAsia="zh-CN"/>
        </w:rPr>
        <w:t xml:space="preserve"> 6.7.3.3-2</w:t>
      </w:r>
      <w:r w:rsidRPr="007E0A80">
        <w:rPr>
          <w:rFonts w:ascii="Arial" w:eastAsia="等线" w:hAnsi="Arial"/>
          <w:b/>
          <w:lang w:eastAsia="en-GB"/>
        </w:rPr>
        <w:t xml:space="preserve">: </w:t>
      </w:r>
      <w:r w:rsidRPr="007E0A80">
        <w:rPr>
          <w:rFonts w:ascii="Arial" w:eastAsia="等线" w:hAnsi="Arial"/>
          <w:b/>
          <w:lang w:eastAsia="zh-CN"/>
        </w:rPr>
        <w:t>UE Communication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8"/>
        <w:gridCol w:w="6321"/>
      </w:tblGrid>
      <w:tr w:rsidR="007E0A80" w:rsidRPr="007E0A80" w14:paraId="1E5199A5" w14:textId="77777777" w:rsidTr="007E0A80">
        <w:trPr>
          <w:jc w:val="center"/>
        </w:trPr>
        <w:tc>
          <w:tcPr>
            <w:tcW w:w="3308" w:type="dxa"/>
          </w:tcPr>
          <w:p w14:paraId="5BF0AB0E" w14:textId="77777777" w:rsidR="007E0A80" w:rsidRPr="007E0A80" w:rsidRDefault="007E0A80" w:rsidP="007E0A80">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0A80">
              <w:rPr>
                <w:rFonts w:ascii="Arial" w:eastAsia="等线" w:hAnsi="Arial"/>
                <w:b/>
                <w:sz w:val="18"/>
                <w:lang w:eastAsia="en-GB"/>
              </w:rPr>
              <w:t>Information</w:t>
            </w:r>
          </w:p>
        </w:tc>
        <w:tc>
          <w:tcPr>
            <w:tcW w:w="6321" w:type="dxa"/>
          </w:tcPr>
          <w:p w14:paraId="3ADF29C1" w14:textId="77777777" w:rsidR="007E0A80" w:rsidRPr="007E0A80" w:rsidRDefault="007E0A80" w:rsidP="007E0A80">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0A80">
              <w:rPr>
                <w:rFonts w:ascii="Arial" w:eastAsia="等线" w:hAnsi="Arial"/>
                <w:b/>
                <w:sz w:val="18"/>
                <w:lang w:eastAsia="en-GB"/>
              </w:rPr>
              <w:t>Description</w:t>
            </w:r>
          </w:p>
        </w:tc>
      </w:tr>
      <w:tr w:rsidR="007E0A80" w:rsidRPr="007E0A80" w14:paraId="1893D388" w14:textId="77777777" w:rsidTr="007E0A80">
        <w:trPr>
          <w:jc w:val="center"/>
        </w:trPr>
        <w:tc>
          <w:tcPr>
            <w:tcW w:w="3308" w:type="dxa"/>
          </w:tcPr>
          <w:p w14:paraId="3B802230"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zh-CN"/>
              </w:rPr>
              <w:t>UE group ID or UE ID</w:t>
            </w:r>
          </w:p>
        </w:tc>
        <w:tc>
          <w:tcPr>
            <w:tcW w:w="6321" w:type="dxa"/>
          </w:tcPr>
          <w:p w14:paraId="3DAC5DB6"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Identifies the UE(s) for which the statistic applies by a list of SUPIs, or a group of UEs by a list of Internal-Group-Ids defined in clause 5.9.7 of TS 23.501 [2].</w:t>
            </w:r>
          </w:p>
        </w:tc>
      </w:tr>
      <w:tr w:rsidR="007E0A80" w:rsidRPr="007E0A80" w14:paraId="2DBD9678" w14:textId="77777777" w:rsidTr="007E0A80">
        <w:trPr>
          <w:jc w:val="center"/>
        </w:trPr>
        <w:tc>
          <w:tcPr>
            <w:tcW w:w="3308" w:type="dxa"/>
          </w:tcPr>
          <w:p w14:paraId="7A26B5A9"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UE communications (</w:t>
            </w:r>
            <w:proofErr w:type="gramStart"/>
            <w:r w:rsidRPr="007E0A80">
              <w:rPr>
                <w:rFonts w:ascii="Arial" w:eastAsia="等线" w:hAnsi="Arial"/>
                <w:sz w:val="18"/>
                <w:lang w:eastAsia="zh-CN"/>
              </w:rPr>
              <w:t>1..</w:t>
            </w:r>
            <w:proofErr w:type="gramEnd"/>
            <w:r w:rsidRPr="007E0A80">
              <w:rPr>
                <w:rFonts w:ascii="Arial" w:eastAsia="等线" w:hAnsi="Arial"/>
                <w:sz w:val="18"/>
                <w:lang w:eastAsia="zh-CN"/>
              </w:rPr>
              <w:t>max) (NOTE 1)</w:t>
            </w:r>
          </w:p>
        </w:tc>
        <w:tc>
          <w:tcPr>
            <w:tcW w:w="6321" w:type="dxa"/>
          </w:tcPr>
          <w:p w14:paraId="3A140982"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List of communication time slots.</w:t>
            </w:r>
          </w:p>
        </w:tc>
      </w:tr>
      <w:tr w:rsidR="007E0A80" w:rsidRPr="007E0A80" w14:paraId="04F27C34" w14:textId="77777777" w:rsidTr="007E0A80">
        <w:trPr>
          <w:jc w:val="center"/>
        </w:trPr>
        <w:tc>
          <w:tcPr>
            <w:tcW w:w="3308" w:type="dxa"/>
          </w:tcPr>
          <w:p w14:paraId="5D42560E"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 xml:space="preserve">  &gt;</w:t>
            </w:r>
            <w:r w:rsidRPr="007E0A80">
              <w:rPr>
                <w:rFonts w:ascii="Arial" w:eastAsia="等线" w:hAnsi="Arial"/>
                <w:sz w:val="18"/>
                <w:lang w:eastAsia="en-GB"/>
              </w:rPr>
              <w:t xml:space="preserve"> Periodic communication indicator (NOTE 1)</w:t>
            </w:r>
          </w:p>
        </w:tc>
        <w:tc>
          <w:tcPr>
            <w:tcW w:w="6321" w:type="dxa"/>
          </w:tcPr>
          <w:p w14:paraId="54EC3678"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en-GB"/>
              </w:rPr>
              <w:t>Identifies whether the UE communicates periodically or not.</w:t>
            </w:r>
          </w:p>
        </w:tc>
      </w:tr>
      <w:tr w:rsidR="007E0A80" w:rsidRPr="007E0A80" w14:paraId="4B98A37E" w14:textId="77777777" w:rsidTr="007E0A80">
        <w:trPr>
          <w:jc w:val="center"/>
        </w:trPr>
        <w:tc>
          <w:tcPr>
            <w:tcW w:w="3308" w:type="dxa"/>
          </w:tcPr>
          <w:p w14:paraId="65938BDD"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 xml:space="preserve">  &gt;</w:t>
            </w:r>
            <w:r w:rsidRPr="007E0A80">
              <w:rPr>
                <w:rFonts w:ascii="Arial" w:eastAsia="等线" w:hAnsi="Arial"/>
                <w:sz w:val="18"/>
                <w:lang w:eastAsia="en-GB"/>
              </w:rPr>
              <w:t xml:space="preserve"> Periodic time (NOTE 1)</w:t>
            </w:r>
          </w:p>
        </w:tc>
        <w:tc>
          <w:tcPr>
            <w:tcW w:w="6321" w:type="dxa"/>
          </w:tcPr>
          <w:p w14:paraId="6869873B"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Interval Time of periodic communication (average and variance) if periodic.</w:t>
            </w:r>
          </w:p>
          <w:p w14:paraId="3375DC7E"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en-GB"/>
              </w:rPr>
              <w:t>Example: every hour.</w:t>
            </w:r>
          </w:p>
        </w:tc>
      </w:tr>
      <w:tr w:rsidR="007E0A80" w:rsidRPr="007E0A80" w14:paraId="601CEE83" w14:textId="77777777" w:rsidTr="007E0A80">
        <w:trPr>
          <w:jc w:val="center"/>
        </w:trPr>
        <w:tc>
          <w:tcPr>
            <w:tcW w:w="3308" w:type="dxa"/>
          </w:tcPr>
          <w:p w14:paraId="39C4EAD2"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 xml:space="preserve">  &gt; Start time (NOTE 1)</w:t>
            </w:r>
          </w:p>
        </w:tc>
        <w:tc>
          <w:tcPr>
            <w:tcW w:w="6321" w:type="dxa"/>
          </w:tcPr>
          <w:p w14:paraId="52715028"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Start time predicted (average and variance).</w:t>
            </w:r>
          </w:p>
        </w:tc>
      </w:tr>
      <w:tr w:rsidR="007E0A80" w:rsidRPr="007E0A80" w14:paraId="5506AE15" w14:textId="77777777" w:rsidTr="007E0A80">
        <w:trPr>
          <w:jc w:val="center"/>
        </w:trPr>
        <w:tc>
          <w:tcPr>
            <w:tcW w:w="3308" w:type="dxa"/>
          </w:tcPr>
          <w:p w14:paraId="50F70B94"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 xml:space="preserve">  &gt;</w:t>
            </w:r>
            <w:r w:rsidRPr="007E0A80">
              <w:rPr>
                <w:rFonts w:ascii="Arial" w:eastAsia="等线" w:hAnsi="Arial"/>
                <w:sz w:val="18"/>
                <w:lang w:eastAsia="en-GB"/>
              </w:rPr>
              <w:t xml:space="preserve"> Duration time (NOTE 1)</w:t>
            </w:r>
          </w:p>
        </w:tc>
        <w:tc>
          <w:tcPr>
            <w:tcW w:w="6321" w:type="dxa"/>
          </w:tcPr>
          <w:p w14:paraId="30840D80"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en-GB"/>
              </w:rPr>
              <w:t>Duration interval time of communication.</w:t>
            </w:r>
          </w:p>
        </w:tc>
      </w:tr>
      <w:tr w:rsidR="007E0A80" w:rsidRPr="007E0A80" w14:paraId="65737630" w14:textId="77777777" w:rsidTr="007E0A80">
        <w:trPr>
          <w:jc w:val="center"/>
        </w:trPr>
        <w:tc>
          <w:tcPr>
            <w:tcW w:w="3308" w:type="dxa"/>
          </w:tcPr>
          <w:p w14:paraId="7C513983"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 xml:space="preserve">  &gt;</w:t>
            </w:r>
            <w:r w:rsidRPr="007E0A80">
              <w:rPr>
                <w:rFonts w:ascii="Arial" w:eastAsia="等线" w:hAnsi="Arial"/>
                <w:sz w:val="18"/>
                <w:lang w:eastAsia="en-GB"/>
              </w:rPr>
              <w:t xml:space="preserve"> Traffic characterization</w:t>
            </w:r>
          </w:p>
        </w:tc>
        <w:tc>
          <w:tcPr>
            <w:tcW w:w="6321" w:type="dxa"/>
          </w:tcPr>
          <w:p w14:paraId="53184748"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en-GB"/>
              </w:rPr>
              <w:t>S-NSSAI, DNN, ports, other useful information.</w:t>
            </w:r>
          </w:p>
        </w:tc>
      </w:tr>
      <w:tr w:rsidR="007E0A80" w:rsidRPr="007E0A80" w14:paraId="2CF0B20C" w14:textId="77777777" w:rsidTr="007E0A80">
        <w:trPr>
          <w:jc w:val="center"/>
        </w:trPr>
        <w:tc>
          <w:tcPr>
            <w:tcW w:w="3308" w:type="dxa"/>
          </w:tcPr>
          <w:p w14:paraId="1989F1E5"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 xml:space="preserve">  &gt; Traffic volume (NOTE 1)</w:t>
            </w:r>
          </w:p>
        </w:tc>
        <w:tc>
          <w:tcPr>
            <w:tcW w:w="6321" w:type="dxa"/>
          </w:tcPr>
          <w:p w14:paraId="5C11AB97"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Volume UL/DL (average and variance).</w:t>
            </w:r>
          </w:p>
        </w:tc>
      </w:tr>
      <w:tr w:rsidR="007E0A80" w:rsidRPr="007E0A80" w14:paraId="648B1DF9" w14:textId="77777777" w:rsidTr="007E0A80">
        <w:trPr>
          <w:jc w:val="center"/>
        </w:trPr>
        <w:tc>
          <w:tcPr>
            <w:tcW w:w="3308" w:type="dxa"/>
          </w:tcPr>
          <w:p w14:paraId="28EB494F"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 xml:space="preserve">  &gt; Confidence</w:t>
            </w:r>
          </w:p>
        </w:tc>
        <w:tc>
          <w:tcPr>
            <w:tcW w:w="6321" w:type="dxa"/>
          </w:tcPr>
          <w:p w14:paraId="65681218"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Confidence of the prediction.</w:t>
            </w:r>
          </w:p>
        </w:tc>
      </w:tr>
      <w:tr w:rsidR="007E0A80" w:rsidRPr="007E0A80" w14:paraId="7F049CD3" w14:textId="77777777" w:rsidTr="007E0A80">
        <w:trPr>
          <w:jc w:val="center"/>
        </w:trPr>
        <w:tc>
          <w:tcPr>
            <w:tcW w:w="3308" w:type="dxa"/>
          </w:tcPr>
          <w:p w14:paraId="4809D1F1"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en-GB"/>
              </w:rPr>
              <w:t xml:space="preserve">  &gt; Ratio</w:t>
            </w:r>
          </w:p>
        </w:tc>
        <w:tc>
          <w:tcPr>
            <w:tcW w:w="6321" w:type="dxa"/>
          </w:tcPr>
          <w:p w14:paraId="3BC7E763"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en-GB"/>
              </w:rPr>
              <w:t>Percentage of UEs in the group (in the case of a UE group).</w:t>
            </w:r>
          </w:p>
        </w:tc>
      </w:tr>
      <w:tr w:rsidR="007E0A80" w:rsidRPr="007E0A80" w14:paraId="030E870C" w14:textId="77777777" w:rsidTr="007E0A80">
        <w:trPr>
          <w:jc w:val="center"/>
        </w:trPr>
        <w:tc>
          <w:tcPr>
            <w:tcW w:w="3308" w:type="dxa"/>
          </w:tcPr>
          <w:p w14:paraId="6F013F03"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Applications (</w:t>
            </w:r>
            <w:proofErr w:type="gramStart"/>
            <w:r w:rsidRPr="007E0A80">
              <w:rPr>
                <w:rFonts w:ascii="Arial" w:eastAsia="等线" w:hAnsi="Arial"/>
                <w:sz w:val="18"/>
                <w:lang w:eastAsia="en-GB"/>
              </w:rPr>
              <w:t>0..</w:t>
            </w:r>
            <w:proofErr w:type="gramEnd"/>
            <w:r w:rsidRPr="007E0A80">
              <w:rPr>
                <w:rFonts w:ascii="Arial" w:eastAsia="等线" w:hAnsi="Arial"/>
                <w:sz w:val="18"/>
                <w:lang w:eastAsia="en-GB"/>
              </w:rPr>
              <w:t xml:space="preserve">max) </w:t>
            </w:r>
            <w:r w:rsidRPr="007E0A80">
              <w:rPr>
                <w:rFonts w:ascii="Arial" w:eastAsia="等线" w:hAnsi="Arial"/>
                <w:sz w:val="18"/>
                <w:lang w:eastAsia="zh-CN"/>
              </w:rPr>
              <w:t>(NOTE 1)</w:t>
            </w:r>
          </w:p>
        </w:tc>
        <w:tc>
          <w:tcPr>
            <w:tcW w:w="6321" w:type="dxa"/>
          </w:tcPr>
          <w:p w14:paraId="1DDB59BE"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List of applications in use.</w:t>
            </w:r>
          </w:p>
        </w:tc>
      </w:tr>
      <w:tr w:rsidR="007E0A80" w:rsidRPr="007E0A80" w14:paraId="6B31091B" w14:textId="77777777" w:rsidTr="007E0A80">
        <w:trPr>
          <w:jc w:val="center"/>
        </w:trPr>
        <w:tc>
          <w:tcPr>
            <w:tcW w:w="3308" w:type="dxa"/>
          </w:tcPr>
          <w:p w14:paraId="5F5F939A"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 xml:space="preserve">  &gt; Application Id</w:t>
            </w:r>
          </w:p>
        </w:tc>
        <w:tc>
          <w:tcPr>
            <w:tcW w:w="6321" w:type="dxa"/>
          </w:tcPr>
          <w:p w14:paraId="70AE5648"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Identification of the application.</w:t>
            </w:r>
          </w:p>
        </w:tc>
      </w:tr>
      <w:tr w:rsidR="007E0A80" w:rsidRPr="007E0A80" w14:paraId="7FC2B12F" w14:textId="77777777" w:rsidTr="007E0A80">
        <w:trPr>
          <w:jc w:val="center"/>
        </w:trPr>
        <w:tc>
          <w:tcPr>
            <w:tcW w:w="3308" w:type="dxa"/>
          </w:tcPr>
          <w:p w14:paraId="533741E0"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 xml:space="preserve">  &gt; Start time</w:t>
            </w:r>
          </w:p>
        </w:tc>
        <w:tc>
          <w:tcPr>
            <w:tcW w:w="6321" w:type="dxa"/>
          </w:tcPr>
          <w:p w14:paraId="09E70BF7"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Start time of the application.</w:t>
            </w:r>
          </w:p>
        </w:tc>
      </w:tr>
      <w:tr w:rsidR="007E0A80" w:rsidRPr="007E0A80" w14:paraId="400D14FF" w14:textId="77777777" w:rsidTr="007E0A80">
        <w:trPr>
          <w:jc w:val="center"/>
        </w:trPr>
        <w:tc>
          <w:tcPr>
            <w:tcW w:w="3308" w:type="dxa"/>
          </w:tcPr>
          <w:p w14:paraId="6B144997"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 xml:space="preserve">  &gt; Duration time</w:t>
            </w:r>
          </w:p>
        </w:tc>
        <w:tc>
          <w:tcPr>
            <w:tcW w:w="6321" w:type="dxa"/>
          </w:tcPr>
          <w:p w14:paraId="045806E4"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Duration interval time of the application.</w:t>
            </w:r>
          </w:p>
        </w:tc>
      </w:tr>
      <w:tr w:rsidR="007E0A80" w:rsidRPr="007E0A80" w14:paraId="12E9C0A6" w14:textId="77777777" w:rsidTr="007E0A80">
        <w:trPr>
          <w:jc w:val="center"/>
        </w:trPr>
        <w:tc>
          <w:tcPr>
            <w:tcW w:w="3308" w:type="dxa"/>
          </w:tcPr>
          <w:p w14:paraId="50EB4F01"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 xml:space="preserve">  &gt; Occurrence probability</w:t>
            </w:r>
          </w:p>
        </w:tc>
        <w:tc>
          <w:tcPr>
            <w:tcW w:w="6321" w:type="dxa"/>
          </w:tcPr>
          <w:p w14:paraId="6E42C76E"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Probability the application will be used by the UE.</w:t>
            </w:r>
          </w:p>
        </w:tc>
      </w:tr>
      <w:tr w:rsidR="007E0A80" w:rsidRPr="007E0A80" w14:paraId="5905ADC7" w14:textId="77777777" w:rsidTr="007E0A80">
        <w:trPr>
          <w:jc w:val="center"/>
        </w:trPr>
        <w:tc>
          <w:tcPr>
            <w:tcW w:w="3308" w:type="dxa"/>
          </w:tcPr>
          <w:p w14:paraId="2C90532F"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 xml:space="preserve">  &gt; Spatial validity</w:t>
            </w:r>
          </w:p>
        </w:tc>
        <w:tc>
          <w:tcPr>
            <w:tcW w:w="6321" w:type="dxa"/>
          </w:tcPr>
          <w:p w14:paraId="37D3F25D"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Area where the service behaviour applies. If Area of Interest information was provided in the request or subscription, spatial validity may be a subset of the requested Area of Interest. If a Spatial granularity size was provided in the request or subscription, the number of elements of TAs or cells in the area is smaller than or equal to the Spatial granularity size.</w:t>
            </w:r>
          </w:p>
        </w:tc>
      </w:tr>
      <w:tr w:rsidR="007E0A80" w:rsidRPr="007E0A80" w14:paraId="2C291698" w14:textId="77777777" w:rsidTr="007E0A80">
        <w:trPr>
          <w:jc w:val="center"/>
          <w:ins w:id="5" w:author="vivo-r00" w:date="2025-08-14T17:28:00Z"/>
        </w:trPr>
        <w:tc>
          <w:tcPr>
            <w:tcW w:w="3308" w:type="dxa"/>
          </w:tcPr>
          <w:p w14:paraId="53C56E0A" w14:textId="2DEEA6C5" w:rsidR="007E0A80" w:rsidRPr="007E0A80" w:rsidRDefault="007E0A80" w:rsidP="007E0A80">
            <w:pPr>
              <w:keepNext/>
              <w:keepLines/>
              <w:overflowPunct w:val="0"/>
              <w:autoSpaceDE w:val="0"/>
              <w:autoSpaceDN w:val="0"/>
              <w:adjustRightInd w:val="0"/>
              <w:spacing w:after="0"/>
              <w:textAlignment w:val="baseline"/>
              <w:rPr>
                <w:ins w:id="6" w:author="vivo-r00" w:date="2025-08-14T17:28:00Z"/>
                <w:rFonts w:ascii="Arial" w:eastAsia="等线" w:hAnsi="Arial"/>
                <w:sz w:val="18"/>
                <w:lang w:eastAsia="en-GB"/>
              </w:rPr>
            </w:pPr>
            <w:ins w:id="7" w:author="vivo-r00" w:date="2025-08-14T17:28:00Z">
              <w:r w:rsidRPr="00AA4DFD">
                <w:rPr>
                  <w:rFonts w:ascii="Arial" w:eastAsia="等线" w:hAnsi="Arial"/>
                  <w:sz w:val="18"/>
                  <w:lang w:eastAsia="zh-CN"/>
                </w:rPr>
                <w:t xml:space="preserve">  &gt; Confidence</w:t>
              </w:r>
            </w:ins>
          </w:p>
        </w:tc>
        <w:tc>
          <w:tcPr>
            <w:tcW w:w="6321" w:type="dxa"/>
          </w:tcPr>
          <w:p w14:paraId="581B58C3" w14:textId="37808F96" w:rsidR="007E0A80" w:rsidRPr="007E0A80" w:rsidRDefault="007E0A80" w:rsidP="007E0A80">
            <w:pPr>
              <w:keepNext/>
              <w:keepLines/>
              <w:overflowPunct w:val="0"/>
              <w:autoSpaceDE w:val="0"/>
              <w:autoSpaceDN w:val="0"/>
              <w:adjustRightInd w:val="0"/>
              <w:spacing w:after="0"/>
              <w:textAlignment w:val="baseline"/>
              <w:rPr>
                <w:ins w:id="8" w:author="vivo-r00" w:date="2025-08-14T17:28:00Z"/>
                <w:rFonts w:ascii="Arial" w:eastAsia="等线" w:hAnsi="Arial"/>
                <w:sz w:val="18"/>
                <w:lang w:eastAsia="en-GB"/>
              </w:rPr>
            </w:pPr>
            <w:ins w:id="9" w:author="vivo-r00" w:date="2025-08-14T17:28:00Z">
              <w:r w:rsidRPr="00AA4DFD">
                <w:rPr>
                  <w:rFonts w:ascii="Arial" w:eastAsia="等线" w:hAnsi="Arial"/>
                  <w:sz w:val="18"/>
                  <w:lang w:eastAsia="zh-CN"/>
                </w:rPr>
                <w:t>Confidence of the prediction.</w:t>
              </w:r>
            </w:ins>
          </w:p>
        </w:tc>
      </w:tr>
      <w:tr w:rsidR="007E0A80" w:rsidRPr="007E0A80" w14:paraId="133E4DEA" w14:textId="77777777" w:rsidTr="007E0A80">
        <w:trPr>
          <w:jc w:val="center"/>
        </w:trPr>
        <w:tc>
          <w:tcPr>
            <w:tcW w:w="3308" w:type="dxa"/>
          </w:tcPr>
          <w:p w14:paraId="49E89CE2"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Batang" w:hAnsi="Arial"/>
                <w:sz w:val="18"/>
                <w:lang w:eastAsia="en-GB"/>
              </w:rPr>
              <w:t>N4 Session ID (</w:t>
            </w:r>
            <w:proofErr w:type="gramStart"/>
            <w:r w:rsidRPr="007E0A80">
              <w:rPr>
                <w:rFonts w:ascii="Arial" w:eastAsia="Batang" w:hAnsi="Arial"/>
                <w:sz w:val="18"/>
                <w:lang w:eastAsia="en-GB"/>
              </w:rPr>
              <w:t>1..</w:t>
            </w:r>
            <w:proofErr w:type="gramEnd"/>
            <w:r w:rsidRPr="007E0A80">
              <w:rPr>
                <w:rFonts w:ascii="Arial" w:eastAsia="Batang" w:hAnsi="Arial"/>
                <w:sz w:val="18"/>
                <w:lang w:eastAsia="en-GB"/>
              </w:rPr>
              <w:t xml:space="preserve">max) </w:t>
            </w:r>
            <w:r w:rsidRPr="007E0A80">
              <w:rPr>
                <w:rFonts w:ascii="Arial" w:eastAsia="等线" w:hAnsi="Arial"/>
                <w:sz w:val="18"/>
                <w:lang w:eastAsia="zh-CN"/>
              </w:rPr>
              <w:t>(NOTE 1) (NOTE 2)</w:t>
            </w:r>
          </w:p>
        </w:tc>
        <w:tc>
          <w:tcPr>
            <w:tcW w:w="6321" w:type="dxa"/>
          </w:tcPr>
          <w:p w14:paraId="7BD77206"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Identification of N4 Session.</w:t>
            </w:r>
          </w:p>
        </w:tc>
      </w:tr>
      <w:tr w:rsidR="007E0A80" w:rsidRPr="007E0A80" w14:paraId="2DADDA9B" w14:textId="77777777" w:rsidTr="007E0A80">
        <w:trPr>
          <w:jc w:val="center"/>
        </w:trPr>
        <w:tc>
          <w:tcPr>
            <w:tcW w:w="3308" w:type="dxa"/>
          </w:tcPr>
          <w:p w14:paraId="583FB5B1" w14:textId="77777777" w:rsidR="007E0A80" w:rsidRPr="007E0A80" w:rsidRDefault="007E0A80" w:rsidP="007E0A80">
            <w:pPr>
              <w:keepNext/>
              <w:keepLines/>
              <w:overflowPunct w:val="0"/>
              <w:autoSpaceDE w:val="0"/>
              <w:autoSpaceDN w:val="0"/>
              <w:adjustRightInd w:val="0"/>
              <w:spacing w:after="0"/>
              <w:textAlignment w:val="baseline"/>
              <w:rPr>
                <w:rFonts w:ascii="Arial" w:eastAsia="Batang" w:hAnsi="Arial"/>
                <w:sz w:val="18"/>
                <w:lang w:eastAsia="en-GB"/>
              </w:rPr>
            </w:pPr>
            <w:r w:rsidRPr="007E0A80">
              <w:rPr>
                <w:rFonts w:ascii="Arial" w:eastAsia="Batang" w:hAnsi="Arial"/>
                <w:sz w:val="18"/>
                <w:lang w:eastAsia="en-GB"/>
              </w:rPr>
              <w:t>&gt; Inactivity detection time</w:t>
            </w:r>
          </w:p>
        </w:tc>
        <w:tc>
          <w:tcPr>
            <w:tcW w:w="6321" w:type="dxa"/>
          </w:tcPr>
          <w:p w14:paraId="1F2A1D2C"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Value of session inactivity timer (average and variance).</w:t>
            </w:r>
          </w:p>
        </w:tc>
      </w:tr>
      <w:tr w:rsidR="007E0A80" w:rsidRPr="007E0A80" w14:paraId="3C424289" w14:textId="77777777" w:rsidTr="007E0A80">
        <w:trPr>
          <w:jc w:val="center"/>
        </w:trPr>
        <w:tc>
          <w:tcPr>
            <w:tcW w:w="3308" w:type="dxa"/>
          </w:tcPr>
          <w:p w14:paraId="01A839F0" w14:textId="77777777" w:rsidR="007E0A80" w:rsidRPr="007E0A80" w:rsidRDefault="007E0A80" w:rsidP="007E0A80">
            <w:pPr>
              <w:keepNext/>
              <w:keepLines/>
              <w:overflowPunct w:val="0"/>
              <w:autoSpaceDE w:val="0"/>
              <w:autoSpaceDN w:val="0"/>
              <w:adjustRightInd w:val="0"/>
              <w:spacing w:after="0"/>
              <w:textAlignment w:val="baseline"/>
              <w:rPr>
                <w:rFonts w:ascii="Arial" w:eastAsia="Batang" w:hAnsi="Arial"/>
                <w:sz w:val="18"/>
                <w:lang w:eastAsia="en-GB"/>
              </w:rPr>
            </w:pPr>
            <w:r w:rsidRPr="007E0A80">
              <w:rPr>
                <w:rFonts w:ascii="Arial" w:eastAsia="等线" w:hAnsi="Arial"/>
                <w:sz w:val="18"/>
                <w:lang w:eastAsia="zh-CN"/>
              </w:rPr>
              <w:t xml:space="preserve">  &gt; Confidence</w:t>
            </w:r>
          </w:p>
        </w:tc>
        <w:tc>
          <w:tcPr>
            <w:tcW w:w="6321" w:type="dxa"/>
          </w:tcPr>
          <w:p w14:paraId="2DC3668F"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zh-CN"/>
              </w:rPr>
              <w:t>Confidence of the prediction.</w:t>
            </w:r>
          </w:p>
        </w:tc>
      </w:tr>
      <w:tr w:rsidR="007E0A80" w:rsidRPr="007E0A80" w14:paraId="539A2296" w14:textId="77777777" w:rsidTr="007E0A80">
        <w:trPr>
          <w:jc w:val="center"/>
        </w:trPr>
        <w:tc>
          <w:tcPr>
            <w:tcW w:w="9629" w:type="dxa"/>
            <w:gridSpan w:val="2"/>
          </w:tcPr>
          <w:p w14:paraId="54FF44CB" w14:textId="77777777" w:rsidR="007E0A80" w:rsidRPr="007E0A80" w:rsidRDefault="007E0A80" w:rsidP="007E0A80">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7E0A80">
              <w:rPr>
                <w:rFonts w:ascii="Arial" w:eastAsia="等线" w:hAnsi="Arial"/>
                <w:sz w:val="18"/>
                <w:lang w:eastAsia="zh-CN"/>
              </w:rPr>
              <w:t>NOTE 1:</w:t>
            </w:r>
            <w:r w:rsidRPr="007E0A80">
              <w:rPr>
                <w:rFonts w:ascii="Arial" w:eastAsia="等线" w:hAnsi="Arial"/>
                <w:sz w:val="18"/>
                <w:lang w:eastAsia="zh-CN"/>
              </w:rPr>
              <w:tab/>
              <w:t>Analytics subset that can be used in "list of analytics subsets that are requested" and "Preferred level of accuracy per analytics subset".</w:t>
            </w:r>
          </w:p>
          <w:p w14:paraId="5FFEF8C2" w14:textId="77777777" w:rsidR="007E0A80" w:rsidRPr="007E0A80" w:rsidRDefault="007E0A80" w:rsidP="007E0A80">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7E0A80">
              <w:rPr>
                <w:rFonts w:ascii="Arial" w:eastAsia="等线" w:hAnsi="Arial"/>
                <w:sz w:val="18"/>
                <w:lang w:eastAsia="zh-CN"/>
              </w:rPr>
              <w:t>NOTE 2:</w:t>
            </w:r>
            <w:r w:rsidRPr="007E0A80">
              <w:rPr>
                <w:rFonts w:ascii="Arial" w:eastAsia="等线" w:hAnsi="Arial"/>
                <w:sz w:val="18"/>
                <w:lang w:eastAsia="zh-CN"/>
              </w:rPr>
              <w:tab/>
              <w:t>This analytics subset shall only be included if the consumer is SMF.</w:t>
            </w:r>
          </w:p>
        </w:tc>
      </w:tr>
    </w:tbl>
    <w:p w14:paraId="5B2DB4D9" w14:textId="77777777" w:rsidR="007E0A80" w:rsidRPr="007E0A80" w:rsidRDefault="007E0A80" w:rsidP="007E0A80">
      <w:pPr>
        <w:overflowPunct w:val="0"/>
        <w:autoSpaceDE w:val="0"/>
        <w:autoSpaceDN w:val="0"/>
        <w:adjustRightInd w:val="0"/>
        <w:spacing w:after="0"/>
        <w:textAlignment w:val="baseline"/>
        <w:rPr>
          <w:rFonts w:eastAsia="等线"/>
          <w:lang w:eastAsia="zh-CN"/>
        </w:rPr>
      </w:pPr>
    </w:p>
    <w:p w14:paraId="037FD94E" w14:textId="77777777" w:rsidR="007E0A80" w:rsidRPr="007E0A80" w:rsidRDefault="007E0A80" w:rsidP="007E0A80">
      <w:pPr>
        <w:keepLines/>
        <w:overflowPunct w:val="0"/>
        <w:autoSpaceDE w:val="0"/>
        <w:autoSpaceDN w:val="0"/>
        <w:adjustRightInd w:val="0"/>
        <w:ind w:left="1135" w:hanging="851"/>
        <w:textAlignment w:val="baseline"/>
        <w:rPr>
          <w:rFonts w:eastAsia="等线"/>
          <w:lang w:eastAsia="zh-CN"/>
        </w:rPr>
      </w:pPr>
      <w:r w:rsidRPr="007E0A80">
        <w:rPr>
          <w:rFonts w:eastAsia="等线"/>
          <w:lang w:eastAsia="zh-CN"/>
        </w:rPr>
        <w:t>NOTE:</w:t>
      </w:r>
      <w:r w:rsidRPr="007E0A80">
        <w:rPr>
          <w:rFonts w:eastAsia="等线"/>
          <w:lang w:eastAsia="zh-CN"/>
        </w:rPr>
        <w:tab/>
        <w:t>When Target of Analytics Reporting is an individual UE, one UE ID (i.e. SUPI) will be included, the NWDAF will provide the analytics communication result (i.e. list of (predicted) communication time slots) to NF service consumer(s) for the UE.</w:t>
      </w:r>
    </w:p>
    <w:p w14:paraId="5AC02B19" w14:textId="77777777" w:rsidR="007E0A80" w:rsidRPr="007E0A80" w:rsidRDefault="007E0A80" w:rsidP="007E0A80">
      <w:pPr>
        <w:overflowPunct w:val="0"/>
        <w:autoSpaceDE w:val="0"/>
        <w:autoSpaceDN w:val="0"/>
        <w:adjustRightInd w:val="0"/>
        <w:textAlignment w:val="baseline"/>
        <w:rPr>
          <w:rFonts w:eastAsia="等线"/>
          <w:lang w:eastAsia="zh-CN"/>
        </w:rPr>
      </w:pPr>
      <w:r w:rsidRPr="007E0A80">
        <w:rPr>
          <w:rFonts w:eastAsia="等线"/>
          <w:lang w:eastAsia="zh-CN"/>
        </w:rPr>
        <w:t>The results for UE groups address the group globally. The ratio is the proportion of UEs in the group for a given communication at a given time and duration.</w:t>
      </w:r>
    </w:p>
    <w:p w14:paraId="19424CE7" w14:textId="77777777" w:rsidR="007E0A80" w:rsidRPr="007E0A80" w:rsidRDefault="007E0A80" w:rsidP="007E0A80">
      <w:pPr>
        <w:overflowPunct w:val="0"/>
        <w:autoSpaceDE w:val="0"/>
        <w:autoSpaceDN w:val="0"/>
        <w:adjustRightInd w:val="0"/>
        <w:textAlignment w:val="baseline"/>
        <w:rPr>
          <w:rFonts w:eastAsia="等线"/>
          <w:lang w:eastAsia="zh-CN"/>
        </w:rPr>
      </w:pPr>
      <w:r w:rsidRPr="007E0A80">
        <w:rPr>
          <w:rFonts w:eastAsia="等线"/>
          <w:lang w:eastAsia="zh-CN"/>
        </w:rPr>
        <w:t>The number of UE communication entries (</w:t>
      </w:r>
      <w:proofErr w:type="gramStart"/>
      <w:r w:rsidRPr="007E0A80">
        <w:rPr>
          <w:rFonts w:eastAsia="等线"/>
          <w:lang w:eastAsia="zh-CN"/>
        </w:rPr>
        <w:t>1..</w:t>
      </w:r>
      <w:proofErr w:type="gramEnd"/>
      <w:r w:rsidRPr="007E0A80">
        <w:rPr>
          <w:rFonts w:eastAsia="等线"/>
          <w:lang w:eastAsia="zh-CN"/>
        </w:rPr>
        <w:t xml:space="preserve">max) is limited by the </w:t>
      </w:r>
      <w:r w:rsidRPr="007E0A80">
        <w:rPr>
          <w:rFonts w:eastAsia="等线"/>
          <w:lang w:eastAsia="en-GB"/>
        </w:rPr>
        <w:t>maximum number of objects provided as part of Analytics Reporting Information</w:t>
      </w:r>
      <w:r w:rsidRPr="007E0A80">
        <w:rPr>
          <w:rFonts w:eastAsia="等线"/>
          <w:lang w:eastAsia="zh-CN"/>
        </w:rPr>
        <w:t>. The communications shall be provided by order of time, possibly overlapping.</w:t>
      </w:r>
    </w:p>
    <w:p w14:paraId="1F8D0633" w14:textId="77777777" w:rsidR="007E0A80" w:rsidRPr="007E0A80" w:rsidRDefault="007E0A80" w:rsidP="007E0A80">
      <w:pPr>
        <w:overflowPunct w:val="0"/>
        <w:autoSpaceDE w:val="0"/>
        <w:autoSpaceDN w:val="0"/>
        <w:adjustRightInd w:val="0"/>
        <w:textAlignment w:val="baseline"/>
        <w:rPr>
          <w:rFonts w:eastAsia="等线"/>
          <w:lang w:eastAsia="zh-CN"/>
        </w:rPr>
      </w:pPr>
      <w:r w:rsidRPr="007E0A80">
        <w:rPr>
          <w:rFonts w:eastAsia="等线"/>
          <w:lang w:eastAsia="zh-CN"/>
        </w:rPr>
        <w:t>Depending on the list size limitation, the least probable communications on a given Analytics target period may not be provided.</w:t>
      </w:r>
    </w:p>
    <w:p w14:paraId="7AD2FA1C" w14:textId="77777777" w:rsidR="004630DD" w:rsidRPr="007E0A80" w:rsidRDefault="004630DD" w:rsidP="004630DD">
      <w:pPr>
        <w:rPr>
          <w:noProof/>
          <w:lang w:eastAsia="ko-KR"/>
        </w:rPr>
      </w:pPr>
    </w:p>
    <w:p w14:paraId="24A2164F" w14:textId="77777777" w:rsidR="004630DD" w:rsidRPr="00F614AB" w:rsidRDefault="004630DD" w:rsidP="004630D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F614AB">
        <w:rPr>
          <w:rFonts w:ascii="Arial" w:eastAsia="宋体" w:hAnsi="Arial" w:cs="Arial"/>
          <w:color w:val="FF0000"/>
          <w:sz w:val="28"/>
          <w:szCs w:val="28"/>
          <w:lang w:val="en-US"/>
        </w:rPr>
        <w:t xml:space="preserve">* * * * </w:t>
      </w:r>
      <w:r w:rsidRPr="00F614AB">
        <w:rPr>
          <w:rFonts w:ascii="Arial" w:eastAsia="宋体" w:hAnsi="Arial" w:cs="Arial"/>
          <w:color w:val="FF0000"/>
          <w:sz w:val="28"/>
          <w:szCs w:val="28"/>
          <w:lang w:val="en-US" w:eastAsia="zh-CN"/>
        </w:rPr>
        <w:t xml:space="preserve">Next change </w:t>
      </w:r>
      <w:r w:rsidRPr="00F614AB">
        <w:rPr>
          <w:rFonts w:ascii="Arial" w:eastAsia="宋体" w:hAnsi="Arial" w:cs="Arial"/>
          <w:color w:val="FF0000"/>
          <w:sz w:val="28"/>
          <w:szCs w:val="28"/>
          <w:lang w:val="en-US"/>
        </w:rPr>
        <w:t>* * * *</w:t>
      </w:r>
    </w:p>
    <w:p w14:paraId="4B82EB15" w14:textId="77777777" w:rsidR="00D72DD6" w:rsidRPr="00D72DD6" w:rsidRDefault="00D72DD6" w:rsidP="00D72DD6">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r w:rsidRPr="00D72DD6">
        <w:rPr>
          <w:rFonts w:ascii="Arial" w:eastAsia="等线" w:hAnsi="Arial"/>
          <w:sz w:val="28"/>
          <w:lang w:eastAsia="en-GB"/>
        </w:rPr>
        <w:t>6.11.3</w:t>
      </w:r>
      <w:r w:rsidRPr="00D72DD6">
        <w:rPr>
          <w:rFonts w:ascii="Arial" w:eastAsia="等线" w:hAnsi="Arial"/>
          <w:sz w:val="28"/>
          <w:lang w:eastAsia="en-GB"/>
        </w:rPr>
        <w:tab/>
        <w:t>Output Analytics</w:t>
      </w:r>
    </w:p>
    <w:p w14:paraId="78815E3D" w14:textId="77777777" w:rsidR="00D72DD6" w:rsidRPr="00D72DD6" w:rsidRDefault="00D72DD6" w:rsidP="00D72DD6">
      <w:pPr>
        <w:overflowPunct w:val="0"/>
        <w:autoSpaceDE w:val="0"/>
        <w:autoSpaceDN w:val="0"/>
        <w:adjustRightInd w:val="0"/>
        <w:textAlignment w:val="baseline"/>
        <w:rPr>
          <w:rFonts w:eastAsia="等线"/>
          <w:lang w:eastAsia="en-GB"/>
        </w:rPr>
      </w:pPr>
      <w:r w:rsidRPr="00D72DD6">
        <w:rPr>
          <w:rFonts w:eastAsia="等线"/>
          <w:lang w:eastAsia="en-GB"/>
        </w:rPr>
        <w:t>The NWDAF generates WLAN performance analytics. Depending on the Analytics Target Period, the output consists of statistics or predictions. The detailed information provided by the NWDAF is defined in Table 6.11.3-1 for statistics and Table 6.11.3-2 for predictions.</w:t>
      </w:r>
    </w:p>
    <w:p w14:paraId="160953A8" w14:textId="77777777" w:rsidR="00D72DD6" w:rsidRPr="00D72DD6" w:rsidRDefault="00D72DD6" w:rsidP="00D72DD6">
      <w:pPr>
        <w:keepNext/>
        <w:keepLines/>
        <w:overflowPunct w:val="0"/>
        <w:autoSpaceDE w:val="0"/>
        <w:autoSpaceDN w:val="0"/>
        <w:adjustRightInd w:val="0"/>
        <w:spacing w:before="60"/>
        <w:jc w:val="center"/>
        <w:textAlignment w:val="baseline"/>
        <w:rPr>
          <w:rFonts w:ascii="Arial" w:eastAsia="等线" w:hAnsi="Arial"/>
          <w:b/>
          <w:lang w:eastAsia="en-GB"/>
        </w:rPr>
      </w:pPr>
      <w:bookmarkStart w:id="10" w:name="_CRTable6_11_31"/>
      <w:r w:rsidRPr="00D72DD6">
        <w:rPr>
          <w:rFonts w:ascii="Arial" w:eastAsia="等线" w:hAnsi="Arial"/>
          <w:b/>
          <w:lang w:eastAsia="en-GB"/>
        </w:rPr>
        <w:lastRenderedPageBreak/>
        <w:t xml:space="preserve">Table </w:t>
      </w:r>
      <w:bookmarkEnd w:id="10"/>
      <w:r w:rsidRPr="00D72DD6">
        <w:rPr>
          <w:rFonts w:ascii="Arial" w:eastAsia="等线" w:hAnsi="Arial"/>
          <w:b/>
          <w:lang w:eastAsia="en-GB"/>
        </w:rPr>
        <w:t>6.11.3-1: WLAN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D72DD6" w:rsidRPr="00D72DD6" w14:paraId="34589A9A" w14:textId="77777777" w:rsidTr="00BB43A7">
        <w:trPr>
          <w:cantSplit/>
          <w:jc w:val="center"/>
        </w:trPr>
        <w:tc>
          <w:tcPr>
            <w:tcW w:w="2882" w:type="dxa"/>
          </w:tcPr>
          <w:p w14:paraId="7EDB137E" w14:textId="77777777" w:rsidR="00D72DD6" w:rsidRPr="00D72DD6" w:rsidRDefault="00D72DD6" w:rsidP="00D72DD6">
            <w:pPr>
              <w:keepNext/>
              <w:keepLines/>
              <w:overflowPunct w:val="0"/>
              <w:autoSpaceDE w:val="0"/>
              <w:autoSpaceDN w:val="0"/>
              <w:adjustRightInd w:val="0"/>
              <w:spacing w:after="0"/>
              <w:jc w:val="center"/>
              <w:textAlignment w:val="baseline"/>
              <w:rPr>
                <w:rFonts w:ascii="Arial" w:eastAsia="等线" w:hAnsi="Arial"/>
                <w:b/>
                <w:sz w:val="18"/>
                <w:lang w:eastAsia="en-GB"/>
              </w:rPr>
            </w:pPr>
            <w:r w:rsidRPr="00D72DD6">
              <w:rPr>
                <w:rFonts w:ascii="Arial" w:eastAsia="等线" w:hAnsi="Arial"/>
                <w:b/>
                <w:sz w:val="18"/>
                <w:lang w:eastAsia="en-GB"/>
              </w:rPr>
              <w:t>Information</w:t>
            </w:r>
          </w:p>
        </w:tc>
        <w:tc>
          <w:tcPr>
            <w:tcW w:w="5670" w:type="dxa"/>
          </w:tcPr>
          <w:p w14:paraId="3587C335" w14:textId="77777777" w:rsidR="00D72DD6" w:rsidRPr="00D72DD6" w:rsidRDefault="00D72DD6" w:rsidP="00D72DD6">
            <w:pPr>
              <w:keepNext/>
              <w:keepLines/>
              <w:overflowPunct w:val="0"/>
              <w:autoSpaceDE w:val="0"/>
              <w:autoSpaceDN w:val="0"/>
              <w:adjustRightInd w:val="0"/>
              <w:spacing w:after="0"/>
              <w:jc w:val="center"/>
              <w:textAlignment w:val="baseline"/>
              <w:rPr>
                <w:rFonts w:ascii="Arial" w:eastAsia="等线" w:hAnsi="Arial"/>
                <w:b/>
                <w:sz w:val="18"/>
                <w:lang w:eastAsia="en-GB"/>
              </w:rPr>
            </w:pPr>
            <w:r w:rsidRPr="00D72DD6">
              <w:rPr>
                <w:rFonts w:ascii="Arial" w:eastAsia="等线" w:hAnsi="Arial"/>
                <w:b/>
                <w:sz w:val="18"/>
                <w:lang w:eastAsia="en-GB"/>
              </w:rPr>
              <w:t>Description</w:t>
            </w:r>
          </w:p>
        </w:tc>
      </w:tr>
      <w:tr w:rsidR="00D72DD6" w:rsidRPr="00D72DD6" w14:paraId="0A83D1CC" w14:textId="77777777" w:rsidTr="00BB43A7">
        <w:trPr>
          <w:cantSplit/>
          <w:jc w:val="center"/>
        </w:trPr>
        <w:tc>
          <w:tcPr>
            <w:tcW w:w="2882" w:type="dxa"/>
          </w:tcPr>
          <w:p w14:paraId="462FD153" w14:textId="77777777" w:rsidR="00D72DD6" w:rsidRPr="00D72DD6" w:rsidRDefault="00D72DD6" w:rsidP="00D72DD6">
            <w:pPr>
              <w:keepNext/>
              <w:keepLines/>
              <w:overflowPunct w:val="0"/>
              <w:autoSpaceDE w:val="0"/>
              <w:autoSpaceDN w:val="0"/>
              <w:adjustRightInd w:val="0"/>
              <w:spacing w:after="0"/>
              <w:textAlignment w:val="baseline"/>
              <w:rPr>
                <w:rFonts w:ascii="Arial" w:eastAsia="MS Mincho" w:hAnsi="Arial"/>
                <w:sz w:val="18"/>
                <w:lang w:eastAsia="en-GB"/>
              </w:rPr>
            </w:pPr>
            <w:r w:rsidRPr="00D72DD6">
              <w:rPr>
                <w:rFonts w:ascii="Arial" w:eastAsia="等线" w:hAnsi="Arial"/>
                <w:sz w:val="18"/>
                <w:lang w:eastAsia="zh-CN"/>
              </w:rPr>
              <w:t>Area of Interest</w:t>
            </w:r>
          </w:p>
        </w:tc>
        <w:tc>
          <w:tcPr>
            <w:tcW w:w="5670" w:type="dxa"/>
          </w:tcPr>
          <w:p w14:paraId="337E2CA7"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zh-CN"/>
              </w:rPr>
              <w:t>A list of TAIs or Cell Ids</w:t>
            </w:r>
          </w:p>
        </w:tc>
      </w:tr>
      <w:tr w:rsidR="00D72DD6" w:rsidRPr="00D72DD6" w14:paraId="0E8B4D4C" w14:textId="77777777" w:rsidTr="00BB43A7">
        <w:trPr>
          <w:cantSplit/>
          <w:jc w:val="center"/>
        </w:trPr>
        <w:tc>
          <w:tcPr>
            <w:tcW w:w="2882" w:type="dxa"/>
          </w:tcPr>
          <w:p w14:paraId="7E142B63"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List of Analytics per SSID</w:t>
            </w:r>
          </w:p>
        </w:tc>
        <w:tc>
          <w:tcPr>
            <w:tcW w:w="5670" w:type="dxa"/>
          </w:tcPr>
          <w:p w14:paraId="66D18294"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SSIDs of WLAN access points deployed in the Area of Interest</w:t>
            </w:r>
          </w:p>
        </w:tc>
      </w:tr>
      <w:tr w:rsidR="00D72DD6" w:rsidRPr="00D72DD6" w14:paraId="43687B42" w14:textId="77777777" w:rsidTr="00BB43A7">
        <w:trPr>
          <w:cantSplit/>
          <w:jc w:val="center"/>
        </w:trPr>
        <w:tc>
          <w:tcPr>
            <w:tcW w:w="2882" w:type="dxa"/>
          </w:tcPr>
          <w:p w14:paraId="112114CF"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&gt; Time slot entry (</w:t>
            </w:r>
            <w:proofErr w:type="gramStart"/>
            <w:r w:rsidRPr="00D72DD6">
              <w:rPr>
                <w:rFonts w:ascii="Arial" w:eastAsia="等线" w:hAnsi="Arial"/>
                <w:sz w:val="18"/>
                <w:lang w:eastAsia="ko-KR"/>
              </w:rPr>
              <w:t>1..</w:t>
            </w:r>
            <w:proofErr w:type="gramEnd"/>
            <w:r w:rsidRPr="00D72DD6">
              <w:rPr>
                <w:rFonts w:ascii="Arial" w:eastAsia="等线" w:hAnsi="Arial"/>
                <w:sz w:val="18"/>
                <w:lang w:eastAsia="ko-KR"/>
              </w:rPr>
              <w:t>max)</w:t>
            </w:r>
          </w:p>
        </w:tc>
        <w:tc>
          <w:tcPr>
            <w:tcW w:w="5670" w:type="dxa"/>
          </w:tcPr>
          <w:p w14:paraId="3D280584"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List of time slots during the Analytics target period</w:t>
            </w:r>
          </w:p>
        </w:tc>
      </w:tr>
      <w:tr w:rsidR="00D72DD6" w:rsidRPr="00D72DD6" w14:paraId="56E6787A" w14:textId="77777777" w:rsidTr="00BB43A7">
        <w:trPr>
          <w:cantSplit/>
          <w:jc w:val="center"/>
        </w:trPr>
        <w:tc>
          <w:tcPr>
            <w:tcW w:w="2882" w:type="dxa"/>
          </w:tcPr>
          <w:p w14:paraId="1A4D78CF"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&gt;&gt; Time slot start</w:t>
            </w:r>
          </w:p>
        </w:tc>
        <w:tc>
          <w:tcPr>
            <w:tcW w:w="5670" w:type="dxa"/>
          </w:tcPr>
          <w:p w14:paraId="29204AE8"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Time slot start time within the Analytics target period</w:t>
            </w:r>
          </w:p>
        </w:tc>
      </w:tr>
      <w:tr w:rsidR="00D72DD6" w:rsidRPr="00D72DD6" w14:paraId="59EAFF86" w14:textId="77777777" w:rsidTr="00BB43A7">
        <w:trPr>
          <w:cantSplit/>
          <w:jc w:val="center"/>
        </w:trPr>
        <w:tc>
          <w:tcPr>
            <w:tcW w:w="2882" w:type="dxa"/>
          </w:tcPr>
          <w:p w14:paraId="62A8C41F"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&gt;&gt; Duration</w:t>
            </w:r>
          </w:p>
        </w:tc>
        <w:tc>
          <w:tcPr>
            <w:tcW w:w="5670" w:type="dxa"/>
          </w:tcPr>
          <w:p w14:paraId="7F78D75D"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Duration of the time slot. If a Temporal granularity size was provided in the request or subscription, the Duration is greater than or equal to the Temporal granularity size.</w:t>
            </w:r>
          </w:p>
        </w:tc>
      </w:tr>
      <w:tr w:rsidR="00D72DD6" w:rsidRPr="00D72DD6" w14:paraId="06D1FF4E" w14:textId="77777777" w:rsidTr="00BB43A7">
        <w:trPr>
          <w:cantSplit/>
          <w:jc w:val="center"/>
        </w:trPr>
        <w:tc>
          <w:tcPr>
            <w:tcW w:w="2882" w:type="dxa"/>
          </w:tcPr>
          <w:p w14:paraId="27599185"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&gt;&gt; RSSI (NOTE 1)</w:t>
            </w:r>
          </w:p>
        </w:tc>
        <w:tc>
          <w:tcPr>
            <w:tcW w:w="5670" w:type="dxa"/>
          </w:tcPr>
          <w:p w14:paraId="32306CFD"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Measured RSSI</w:t>
            </w:r>
          </w:p>
        </w:tc>
      </w:tr>
      <w:tr w:rsidR="00D72DD6" w:rsidRPr="00D72DD6" w14:paraId="3F8B5922" w14:textId="77777777" w:rsidTr="00BB43A7">
        <w:trPr>
          <w:cantSplit/>
          <w:jc w:val="center"/>
        </w:trPr>
        <w:tc>
          <w:tcPr>
            <w:tcW w:w="2882" w:type="dxa"/>
          </w:tcPr>
          <w:p w14:paraId="413BFB33"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&gt;&gt; RTT (NOTE 1)</w:t>
            </w:r>
          </w:p>
        </w:tc>
        <w:tc>
          <w:tcPr>
            <w:tcW w:w="5670" w:type="dxa"/>
          </w:tcPr>
          <w:p w14:paraId="35209F48"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Measured RTT</w:t>
            </w:r>
          </w:p>
        </w:tc>
      </w:tr>
      <w:tr w:rsidR="00D72DD6" w:rsidRPr="00D72DD6" w14:paraId="72648111" w14:textId="77777777" w:rsidTr="00BB43A7">
        <w:trPr>
          <w:cantSplit/>
          <w:jc w:val="center"/>
        </w:trPr>
        <w:tc>
          <w:tcPr>
            <w:tcW w:w="2882" w:type="dxa"/>
          </w:tcPr>
          <w:p w14:paraId="5FE74E3B"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&gt;&gt; Traffic Information (NOTE 1)</w:t>
            </w:r>
          </w:p>
        </w:tc>
        <w:tc>
          <w:tcPr>
            <w:tcW w:w="5670" w:type="dxa"/>
          </w:tcPr>
          <w:p w14:paraId="47B12851"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UL/DL data rate, Traffic volume</w:t>
            </w:r>
          </w:p>
        </w:tc>
      </w:tr>
      <w:tr w:rsidR="00D72DD6" w:rsidRPr="00D72DD6" w14:paraId="68A12A50" w14:textId="77777777" w:rsidTr="00BB43A7">
        <w:trPr>
          <w:cantSplit/>
          <w:jc w:val="center"/>
        </w:trPr>
        <w:tc>
          <w:tcPr>
            <w:tcW w:w="2882" w:type="dxa"/>
          </w:tcPr>
          <w:p w14:paraId="14B85A9F"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ko-KR"/>
              </w:rPr>
            </w:pPr>
            <w:r w:rsidRPr="00D72DD6">
              <w:rPr>
                <w:rFonts w:ascii="Arial" w:eastAsia="等线" w:hAnsi="Arial"/>
                <w:sz w:val="18"/>
                <w:lang w:eastAsia="ko-KR"/>
              </w:rPr>
              <w:t>&gt;&gt; Number of UEs (NOTE 1)</w:t>
            </w:r>
          </w:p>
        </w:tc>
        <w:tc>
          <w:tcPr>
            <w:tcW w:w="5670" w:type="dxa"/>
          </w:tcPr>
          <w:p w14:paraId="7F793989"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ko-KR"/>
              </w:rPr>
            </w:pPr>
            <w:r w:rsidRPr="00D72DD6">
              <w:rPr>
                <w:rFonts w:ascii="Arial" w:eastAsia="等线" w:hAnsi="Arial"/>
                <w:sz w:val="18"/>
                <w:lang w:eastAsia="ko-KR"/>
              </w:rPr>
              <w:t>Number of UEs observed for the SSID</w:t>
            </w:r>
          </w:p>
        </w:tc>
      </w:tr>
      <w:tr w:rsidR="00D72DD6" w:rsidRPr="00D72DD6" w14:paraId="6D83C5C1" w14:textId="77777777" w:rsidTr="00BB43A7">
        <w:trPr>
          <w:cantSplit/>
          <w:jc w:val="center"/>
        </w:trPr>
        <w:tc>
          <w:tcPr>
            <w:tcW w:w="2882" w:type="dxa"/>
          </w:tcPr>
          <w:p w14:paraId="09E12E7C"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List of Analytics per UE</w:t>
            </w:r>
          </w:p>
        </w:tc>
        <w:tc>
          <w:tcPr>
            <w:tcW w:w="5670" w:type="dxa"/>
          </w:tcPr>
          <w:p w14:paraId="1EC10259"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hint="eastAsia"/>
                <w:sz w:val="18"/>
                <w:lang w:eastAsia="en-GB"/>
              </w:rPr>
              <w:t>U</w:t>
            </w:r>
            <w:r w:rsidRPr="00D72DD6">
              <w:rPr>
                <w:rFonts w:ascii="Arial" w:eastAsia="等线" w:hAnsi="Arial"/>
                <w:sz w:val="18"/>
                <w:lang w:eastAsia="en-GB"/>
              </w:rPr>
              <w:t>E ID(s) of WLAN performance analytics</w:t>
            </w:r>
          </w:p>
        </w:tc>
      </w:tr>
      <w:tr w:rsidR="00D72DD6" w:rsidRPr="00D72DD6" w14:paraId="5816EBFD" w14:textId="77777777" w:rsidTr="00BB43A7">
        <w:trPr>
          <w:cantSplit/>
          <w:jc w:val="center"/>
        </w:trPr>
        <w:tc>
          <w:tcPr>
            <w:tcW w:w="2882" w:type="dxa"/>
          </w:tcPr>
          <w:p w14:paraId="73466A81"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&gt; Time slot entry (</w:t>
            </w:r>
            <w:proofErr w:type="gramStart"/>
            <w:r w:rsidRPr="00D72DD6">
              <w:rPr>
                <w:rFonts w:ascii="Arial" w:eastAsia="等线" w:hAnsi="Arial"/>
                <w:sz w:val="18"/>
                <w:lang w:eastAsia="en-GB"/>
              </w:rPr>
              <w:t>1..</w:t>
            </w:r>
            <w:proofErr w:type="gramEnd"/>
            <w:r w:rsidRPr="00D72DD6">
              <w:rPr>
                <w:rFonts w:ascii="Arial" w:eastAsia="等线" w:hAnsi="Arial"/>
                <w:sz w:val="18"/>
                <w:lang w:eastAsia="en-GB"/>
              </w:rPr>
              <w:t>max)</w:t>
            </w:r>
          </w:p>
        </w:tc>
        <w:tc>
          <w:tcPr>
            <w:tcW w:w="5670" w:type="dxa"/>
          </w:tcPr>
          <w:p w14:paraId="6F70DE8E"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List of time slots during the Analytics target period</w:t>
            </w:r>
          </w:p>
        </w:tc>
      </w:tr>
      <w:tr w:rsidR="00D72DD6" w:rsidRPr="00D72DD6" w14:paraId="0D029593" w14:textId="77777777" w:rsidTr="00BB43A7">
        <w:trPr>
          <w:cantSplit/>
          <w:jc w:val="center"/>
        </w:trPr>
        <w:tc>
          <w:tcPr>
            <w:tcW w:w="2882" w:type="dxa"/>
          </w:tcPr>
          <w:p w14:paraId="0268333D"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&gt;&gt; Time slot start</w:t>
            </w:r>
          </w:p>
        </w:tc>
        <w:tc>
          <w:tcPr>
            <w:tcW w:w="5670" w:type="dxa"/>
          </w:tcPr>
          <w:p w14:paraId="728254F8"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Time slot start time within the Analytics target period</w:t>
            </w:r>
          </w:p>
        </w:tc>
      </w:tr>
      <w:tr w:rsidR="00D72DD6" w:rsidRPr="00D72DD6" w14:paraId="661B9C9A" w14:textId="77777777" w:rsidTr="00BB43A7">
        <w:trPr>
          <w:cantSplit/>
          <w:jc w:val="center"/>
        </w:trPr>
        <w:tc>
          <w:tcPr>
            <w:tcW w:w="2882" w:type="dxa"/>
          </w:tcPr>
          <w:p w14:paraId="3730ECF6"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&gt;&gt; Duration</w:t>
            </w:r>
          </w:p>
        </w:tc>
        <w:tc>
          <w:tcPr>
            <w:tcW w:w="5670" w:type="dxa"/>
          </w:tcPr>
          <w:p w14:paraId="6AFF7AEC"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Duration of the time slot</w:t>
            </w:r>
          </w:p>
        </w:tc>
      </w:tr>
      <w:tr w:rsidR="00D72DD6" w:rsidRPr="00D72DD6" w14:paraId="5458C0DD" w14:textId="77777777" w:rsidTr="00BB43A7">
        <w:trPr>
          <w:cantSplit/>
          <w:jc w:val="center"/>
        </w:trPr>
        <w:tc>
          <w:tcPr>
            <w:tcW w:w="2882" w:type="dxa"/>
          </w:tcPr>
          <w:p w14:paraId="4C53BD4D"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&gt;&gt; RSSI (NOTE 1)</w:t>
            </w:r>
          </w:p>
        </w:tc>
        <w:tc>
          <w:tcPr>
            <w:tcW w:w="5670" w:type="dxa"/>
          </w:tcPr>
          <w:p w14:paraId="43920864"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Measured RSSI</w:t>
            </w:r>
          </w:p>
        </w:tc>
      </w:tr>
      <w:tr w:rsidR="00D72DD6" w:rsidRPr="00D72DD6" w14:paraId="08A6D1D1" w14:textId="77777777" w:rsidTr="00BB43A7">
        <w:trPr>
          <w:cantSplit/>
          <w:jc w:val="center"/>
        </w:trPr>
        <w:tc>
          <w:tcPr>
            <w:tcW w:w="2882" w:type="dxa"/>
          </w:tcPr>
          <w:p w14:paraId="6BEBC4A3"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&gt;&gt; RTT (NOTE 1)</w:t>
            </w:r>
          </w:p>
        </w:tc>
        <w:tc>
          <w:tcPr>
            <w:tcW w:w="5670" w:type="dxa"/>
          </w:tcPr>
          <w:p w14:paraId="4EE37FB3"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Measured RTT</w:t>
            </w:r>
          </w:p>
        </w:tc>
      </w:tr>
      <w:tr w:rsidR="00D72DD6" w:rsidRPr="00D72DD6" w14:paraId="658EE035" w14:textId="77777777" w:rsidTr="00BB43A7">
        <w:trPr>
          <w:cantSplit/>
          <w:jc w:val="center"/>
        </w:trPr>
        <w:tc>
          <w:tcPr>
            <w:tcW w:w="2882" w:type="dxa"/>
          </w:tcPr>
          <w:p w14:paraId="02CC05F6"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ko-KR"/>
              </w:rPr>
            </w:pPr>
            <w:r w:rsidRPr="00D72DD6">
              <w:rPr>
                <w:rFonts w:ascii="Arial" w:eastAsia="等线" w:hAnsi="Arial"/>
                <w:sz w:val="18"/>
                <w:lang w:eastAsia="en-GB"/>
              </w:rPr>
              <w:t>&gt;&gt; Traffic Information (NOTE 1)</w:t>
            </w:r>
          </w:p>
        </w:tc>
        <w:tc>
          <w:tcPr>
            <w:tcW w:w="5670" w:type="dxa"/>
          </w:tcPr>
          <w:p w14:paraId="680D6955"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ko-KR"/>
              </w:rPr>
            </w:pPr>
            <w:r w:rsidRPr="00D72DD6">
              <w:rPr>
                <w:rFonts w:ascii="Arial" w:eastAsia="等线" w:hAnsi="Arial"/>
                <w:sz w:val="18"/>
                <w:lang w:eastAsia="en-GB"/>
              </w:rPr>
              <w:t>UL/DL data rate, Traffic volume</w:t>
            </w:r>
          </w:p>
        </w:tc>
      </w:tr>
      <w:tr w:rsidR="00D72DD6" w:rsidRPr="00D72DD6" w14:paraId="652AB164" w14:textId="77777777" w:rsidTr="00BB43A7">
        <w:trPr>
          <w:cantSplit/>
          <w:jc w:val="center"/>
        </w:trPr>
        <w:tc>
          <w:tcPr>
            <w:tcW w:w="8552" w:type="dxa"/>
            <w:gridSpan w:val="2"/>
          </w:tcPr>
          <w:p w14:paraId="353C4B8A" w14:textId="77777777" w:rsidR="00D72DD6" w:rsidRPr="00D72DD6" w:rsidRDefault="00D72DD6" w:rsidP="00D72DD6">
            <w:pPr>
              <w:keepNext/>
              <w:keepLines/>
              <w:overflowPunct w:val="0"/>
              <w:autoSpaceDE w:val="0"/>
              <w:autoSpaceDN w:val="0"/>
              <w:adjustRightInd w:val="0"/>
              <w:spacing w:after="0"/>
              <w:ind w:left="851" w:hanging="851"/>
              <w:textAlignment w:val="baseline"/>
              <w:rPr>
                <w:rFonts w:ascii="Arial" w:eastAsia="等线" w:hAnsi="Arial"/>
                <w:sz w:val="18"/>
                <w:lang w:eastAsia="ko-KR"/>
              </w:rPr>
            </w:pPr>
            <w:r w:rsidRPr="00D72DD6">
              <w:rPr>
                <w:rFonts w:ascii="Arial" w:eastAsia="等线" w:hAnsi="Arial"/>
                <w:sz w:val="18"/>
                <w:lang w:eastAsia="ko-KR"/>
              </w:rPr>
              <w:t>NOTE 1:</w:t>
            </w:r>
            <w:r w:rsidRPr="00D72DD6">
              <w:rPr>
                <w:rFonts w:ascii="Arial" w:eastAsia="等线" w:hAnsi="Arial"/>
                <w:sz w:val="18"/>
                <w:lang w:eastAsia="ko-KR"/>
              </w:rPr>
              <w:tab/>
              <w:t>This information element is an analytics subset that can be used in "list of analytics subsets that are requested" and "preferred level of accuracy per analytics subset".</w:t>
            </w:r>
          </w:p>
        </w:tc>
      </w:tr>
    </w:tbl>
    <w:p w14:paraId="31E43560" w14:textId="77777777" w:rsidR="00D72DD6" w:rsidRPr="00D72DD6" w:rsidRDefault="00D72DD6" w:rsidP="00D72DD6">
      <w:pPr>
        <w:overflowPunct w:val="0"/>
        <w:autoSpaceDE w:val="0"/>
        <w:autoSpaceDN w:val="0"/>
        <w:adjustRightInd w:val="0"/>
        <w:spacing w:after="0"/>
        <w:textAlignment w:val="baseline"/>
        <w:rPr>
          <w:rFonts w:eastAsia="等线"/>
          <w:lang w:eastAsia="en-GB"/>
        </w:rPr>
      </w:pPr>
    </w:p>
    <w:p w14:paraId="1AE07ADF" w14:textId="77777777" w:rsidR="00D72DD6" w:rsidRPr="00D72DD6" w:rsidRDefault="00D72DD6" w:rsidP="00D72DD6">
      <w:pPr>
        <w:keepNext/>
        <w:keepLines/>
        <w:overflowPunct w:val="0"/>
        <w:autoSpaceDE w:val="0"/>
        <w:autoSpaceDN w:val="0"/>
        <w:adjustRightInd w:val="0"/>
        <w:spacing w:before="60"/>
        <w:jc w:val="center"/>
        <w:textAlignment w:val="baseline"/>
        <w:rPr>
          <w:rFonts w:ascii="Arial" w:eastAsia="等线" w:hAnsi="Arial"/>
          <w:b/>
          <w:lang w:eastAsia="en-GB"/>
        </w:rPr>
      </w:pPr>
      <w:r w:rsidRPr="00D72DD6">
        <w:rPr>
          <w:rFonts w:ascii="Arial" w:eastAsia="等线" w:hAnsi="Arial"/>
          <w:b/>
          <w:lang w:eastAsia="en-GB"/>
        </w:rPr>
        <w:t>Table 6.11.3-2: WLAN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D72DD6" w:rsidRPr="00D72DD6" w14:paraId="7347C077" w14:textId="77777777" w:rsidTr="00BB43A7">
        <w:trPr>
          <w:cantSplit/>
          <w:jc w:val="center"/>
        </w:trPr>
        <w:tc>
          <w:tcPr>
            <w:tcW w:w="2882" w:type="dxa"/>
          </w:tcPr>
          <w:p w14:paraId="30D66C11" w14:textId="77777777" w:rsidR="00D72DD6" w:rsidRPr="00D72DD6" w:rsidRDefault="00D72DD6" w:rsidP="00D72DD6">
            <w:pPr>
              <w:keepNext/>
              <w:keepLines/>
              <w:overflowPunct w:val="0"/>
              <w:autoSpaceDE w:val="0"/>
              <w:autoSpaceDN w:val="0"/>
              <w:adjustRightInd w:val="0"/>
              <w:spacing w:after="0"/>
              <w:jc w:val="center"/>
              <w:textAlignment w:val="baseline"/>
              <w:rPr>
                <w:rFonts w:ascii="Arial" w:eastAsia="等线" w:hAnsi="Arial"/>
                <w:b/>
                <w:sz w:val="18"/>
                <w:lang w:eastAsia="en-GB"/>
              </w:rPr>
            </w:pPr>
            <w:r w:rsidRPr="00D72DD6">
              <w:rPr>
                <w:rFonts w:ascii="Arial" w:eastAsia="等线" w:hAnsi="Arial"/>
                <w:b/>
                <w:sz w:val="18"/>
                <w:lang w:eastAsia="en-GB"/>
              </w:rPr>
              <w:t>Information</w:t>
            </w:r>
          </w:p>
        </w:tc>
        <w:tc>
          <w:tcPr>
            <w:tcW w:w="5670" w:type="dxa"/>
          </w:tcPr>
          <w:p w14:paraId="2CFCA4B7" w14:textId="77777777" w:rsidR="00D72DD6" w:rsidRPr="00D72DD6" w:rsidRDefault="00D72DD6" w:rsidP="00D72DD6">
            <w:pPr>
              <w:keepNext/>
              <w:keepLines/>
              <w:overflowPunct w:val="0"/>
              <w:autoSpaceDE w:val="0"/>
              <w:autoSpaceDN w:val="0"/>
              <w:adjustRightInd w:val="0"/>
              <w:spacing w:after="0"/>
              <w:jc w:val="center"/>
              <w:textAlignment w:val="baseline"/>
              <w:rPr>
                <w:rFonts w:ascii="Arial" w:eastAsia="等线" w:hAnsi="Arial"/>
                <w:b/>
                <w:sz w:val="18"/>
                <w:lang w:eastAsia="en-GB"/>
              </w:rPr>
            </w:pPr>
            <w:r w:rsidRPr="00D72DD6">
              <w:rPr>
                <w:rFonts w:ascii="Arial" w:eastAsia="等线" w:hAnsi="Arial"/>
                <w:b/>
                <w:sz w:val="18"/>
                <w:lang w:eastAsia="en-GB"/>
              </w:rPr>
              <w:t>Description</w:t>
            </w:r>
          </w:p>
        </w:tc>
      </w:tr>
      <w:tr w:rsidR="00D72DD6" w:rsidRPr="00D72DD6" w14:paraId="10E5591F" w14:textId="77777777" w:rsidTr="00BB43A7">
        <w:trPr>
          <w:cantSplit/>
          <w:jc w:val="center"/>
        </w:trPr>
        <w:tc>
          <w:tcPr>
            <w:tcW w:w="2882" w:type="dxa"/>
          </w:tcPr>
          <w:p w14:paraId="22AF9A15" w14:textId="77777777" w:rsidR="00D72DD6" w:rsidRPr="00D72DD6" w:rsidRDefault="00D72DD6" w:rsidP="00D72DD6">
            <w:pPr>
              <w:keepNext/>
              <w:keepLines/>
              <w:overflowPunct w:val="0"/>
              <w:autoSpaceDE w:val="0"/>
              <w:autoSpaceDN w:val="0"/>
              <w:adjustRightInd w:val="0"/>
              <w:spacing w:after="0"/>
              <w:textAlignment w:val="baseline"/>
              <w:rPr>
                <w:rFonts w:ascii="Arial" w:eastAsia="MS Mincho" w:hAnsi="Arial"/>
                <w:sz w:val="18"/>
                <w:lang w:eastAsia="en-GB"/>
              </w:rPr>
            </w:pPr>
            <w:r w:rsidRPr="00D72DD6">
              <w:rPr>
                <w:rFonts w:ascii="Arial" w:eastAsia="等线" w:hAnsi="Arial"/>
                <w:sz w:val="18"/>
                <w:lang w:eastAsia="zh-CN"/>
              </w:rPr>
              <w:t>Area of Interest</w:t>
            </w:r>
          </w:p>
        </w:tc>
        <w:tc>
          <w:tcPr>
            <w:tcW w:w="5670" w:type="dxa"/>
          </w:tcPr>
          <w:p w14:paraId="45B6CD0E"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zh-CN"/>
              </w:rPr>
              <w:t>A list of TAIs or Cell Ids</w:t>
            </w:r>
          </w:p>
        </w:tc>
      </w:tr>
      <w:tr w:rsidR="00D72DD6" w:rsidRPr="00D72DD6" w14:paraId="3B7DDC56" w14:textId="77777777" w:rsidTr="00BB43A7">
        <w:trPr>
          <w:cantSplit/>
          <w:jc w:val="center"/>
        </w:trPr>
        <w:tc>
          <w:tcPr>
            <w:tcW w:w="2882" w:type="dxa"/>
          </w:tcPr>
          <w:p w14:paraId="4998B53B"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List of Analytics per SSID</w:t>
            </w:r>
          </w:p>
        </w:tc>
        <w:tc>
          <w:tcPr>
            <w:tcW w:w="5670" w:type="dxa"/>
          </w:tcPr>
          <w:p w14:paraId="026D7067"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SSIDs of WLAN access points deployed in the Area of Interest</w:t>
            </w:r>
          </w:p>
        </w:tc>
      </w:tr>
      <w:tr w:rsidR="00D72DD6" w:rsidRPr="00D72DD6" w14:paraId="7E2633EA" w14:textId="77777777" w:rsidTr="00BB43A7">
        <w:trPr>
          <w:cantSplit/>
          <w:jc w:val="center"/>
        </w:trPr>
        <w:tc>
          <w:tcPr>
            <w:tcW w:w="2882" w:type="dxa"/>
          </w:tcPr>
          <w:p w14:paraId="667A9C92"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&gt; Time slot entry (</w:t>
            </w:r>
            <w:proofErr w:type="gramStart"/>
            <w:r w:rsidRPr="00D72DD6">
              <w:rPr>
                <w:rFonts w:ascii="Arial" w:eastAsia="等线" w:hAnsi="Arial"/>
                <w:sz w:val="18"/>
                <w:lang w:eastAsia="ko-KR"/>
              </w:rPr>
              <w:t>1..</w:t>
            </w:r>
            <w:proofErr w:type="gramEnd"/>
            <w:r w:rsidRPr="00D72DD6">
              <w:rPr>
                <w:rFonts w:ascii="Arial" w:eastAsia="等线" w:hAnsi="Arial"/>
                <w:sz w:val="18"/>
                <w:lang w:eastAsia="ko-KR"/>
              </w:rPr>
              <w:t>max)</w:t>
            </w:r>
          </w:p>
        </w:tc>
        <w:tc>
          <w:tcPr>
            <w:tcW w:w="5670" w:type="dxa"/>
          </w:tcPr>
          <w:p w14:paraId="08D568E8"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List of time slots during the Analytics target period</w:t>
            </w:r>
          </w:p>
        </w:tc>
      </w:tr>
      <w:tr w:rsidR="00D72DD6" w:rsidRPr="00D72DD6" w14:paraId="4A888A5A" w14:textId="77777777" w:rsidTr="00BB43A7">
        <w:trPr>
          <w:cantSplit/>
          <w:jc w:val="center"/>
        </w:trPr>
        <w:tc>
          <w:tcPr>
            <w:tcW w:w="2882" w:type="dxa"/>
          </w:tcPr>
          <w:p w14:paraId="1AA29B96"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&gt;&gt; Time slot start</w:t>
            </w:r>
          </w:p>
        </w:tc>
        <w:tc>
          <w:tcPr>
            <w:tcW w:w="5670" w:type="dxa"/>
          </w:tcPr>
          <w:p w14:paraId="6B377B78"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Time slot start time within the Analytics target period</w:t>
            </w:r>
          </w:p>
        </w:tc>
      </w:tr>
      <w:tr w:rsidR="00D72DD6" w:rsidRPr="00D72DD6" w14:paraId="2EE51DB8" w14:textId="77777777" w:rsidTr="00BB43A7">
        <w:trPr>
          <w:cantSplit/>
          <w:jc w:val="center"/>
        </w:trPr>
        <w:tc>
          <w:tcPr>
            <w:tcW w:w="2882" w:type="dxa"/>
          </w:tcPr>
          <w:p w14:paraId="73307DED"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&gt;&gt; Duration</w:t>
            </w:r>
          </w:p>
        </w:tc>
        <w:tc>
          <w:tcPr>
            <w:tcW w:w="5670" w:type="dxa"/>
          </w:tcPr>
          <w:p w14:paraId="265BE822"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Duration of the time slot. If a Temporal granularity size was provided in the request or subscription, the Duration is greater than or equal to the Temporal granularity size.</w:t>
            </w:r>
          </w:p>
        </w:tc>
      </w:tr>
      <w:tr w:rsidR="00D72DD6" w:rsidRPr="00D72DD6" w14:paraId="33399982" w14:textId="77777777" w:rsidTr="00BB43A7">
        <w:trPr>
          <w:cantSplit/>
          <w:jc w:val="center"/>
        </w:trPr>
        <w:tc>
          <w:tcPr>
            <w:tcW w:w="2882" w:type="dxa"/>
          </w:tcPr>
          <w:p w14:paraId="26B1EC9E"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&gt;&gt; RSSI (NOTE 1)</w:t>
            </w:r>
          </w:p>
        </w:tc>
        <w:tc>
          <w:tcPr>
            <w:tcW w:w="5670" w:type="dxa"/>
          </w:tcPr>
          <w:p w14:paraId="12CF3BE6"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Predicted RSSI</w:t>
            </w:r>
          </w:p>
        </w:tc>
      </w:tr>
      <w:tr w:rsidR="00D72DD6" w:rsidRPr="00D72DD6" w14:paraId="14254C57" w14:textId="77777777" w:rsidTr="00BB43A7">
        <w:trPr>
          <w:cantSplit/>
          <w:jc w:val="center"/>
        </w:trPr>
        <w:tc>
          <w:tcPr>
            <w:tcW w:w="2882" w:type="dxa"/>
          </w:tcPr>
          <w:p w14:paraId="43C2D77C"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&gt;&gt; RTT (NOTE 1)</w:t>
            </w:r>
          </w:p>
        </w:tc>
        <w:tc>
          <w:tcPr>
            <w:tcW w:w="5670" w:type="dxa"/>
          </w:tcPr>
          <w:p w14:paraId="24D17FEC"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Predicted RTT</w:t>
            </w:r>
          </w:p>
        </w:tc>
      </w:tr>
      <w:tr w:rsidR="00D72DD6" w:rsidRPr="00D72DD6" w14:paraId="02305206" w14:textId="77777777" w:rsidTr="00BB43A7">
        <w:trPr>
          <w:cantSplit/>
          <w:jc w:val="center"/>
        </w:trPr>
        <w:tc>
          <w:tcPr>
            <w:tcW w:w="2882" w:type="dxa"/>
          </w:tcPr>
          <w:p w14:paraId="75EE63A5"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&gt;&gt; Traffic Information (NOTE 1)</w:t>
            </w:r>
          </w:p>
        </w:tc>
        <w:tc>
          <w:tcPr>
            <w:tcW w:w="5670" w:type="dxa"/>
          </w:tcPr>
          <w:p w14:paraId="55719A11"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Predicted UL/DL data rate, Traffic volume</w:t>
            </w:r>
          </w:p>
        </w:tc>
      </w:tr>
      <w:tr w:rsidR="00D72DD6" w:rsidRPr="00D72DD6" w14:paraId="59551A75" w14:textId="77777777" w:rsidTr="00BB43A7">
        <w:trPr>
          <w:cantSplit/>
          <w:jc w:val="center"/>
        </w:trPr>
        <w:tc>
          <w:tcPr>
            <w:tcW w:w="2882" w:type="dxa"/>
          </w:tcPr>
          <w:p w14:paraId="12C76D79"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ko-KR"/>
              </w:rPr>
            </w:pPr>
            <w:r w:rsidRPr="00D72DD6">
              <w:rPr>
                <w:rFonts w:ascii="Arial" w:eastAsia="等线" w:hAnsi="Arial"/>
                <w:sz w:val="18"/>
                <w:lang w:eastAsia="ko-KR"/>
              </w:rPr>
              <w:t>&gt;&gt; Number of UEs (NOTE 1)</w:t>
            </w:r>
          </w:p>
        </w:tc>
        <w:tc>
          <w:tcPr>
            <w:tcW w:w="5670" w:type="dxa"/>
          </w:tcPr>
          <w:p w14:paraId="07BF84C4"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ko-KR"/>
              </w:rPr>
            </w:pPr>
            <w:r w:rsidRPr="00D72DD6">
              <w:rPr>
                <w:rFonts w:ascii="Arial" w:eastAsia="等线" w:hAnsi="Arial"/>
                <w:sz w:val="18"/>
                <w:lang w:eastAsia="ko-KR"/>
              </w:rPr>
              <w:t>Number of UEs predicted for the SSID</w:t>
            </w:r>
          </w:p>
        </w:tc>
      </w:tr>
      <w:tr w:rsidR="00704D4A" w:rsidRPr="00D72DD6" w14:paraId="2B62653C" w14:textId="77777777" w:rsidTr="00BB43A7">
        <w:trPr>
          <w:cantSplit/>
          <w:jc w:val="center"/>
          <w:ins w:id="11" w:author="vivo-r00" w:date="2025-08-14T17:31:00Z"/>
        </w:trPr>
        <w:tc>
          <w:tcPr>
            <w:tcW w:w="2882" w:type="dxa"/>
          </w:tcPr>
          <w:p w14:paraId="01F619C7" w14:textId="2CDC9456" w:rsidR="00704D4A" w:rsidRPr="00D72DD6" w:rsidRDefault="00704D4A" w:rsidP="00704D4A">
            <w:pPr>
              <w:keepNext/>
              <w:keepLines/>
              <w:overflowPunct w:val="0"/>
              <w:autoSpaceDE w:val="0"/>
              <w:autoSpaceDN w:val="0"/>
              <w:adjustRightInd w:val="0"/>
              <w:spacing w:after="0"/>
              <w:textAlignment w:val="baseline"/>
              <w:rPr>
                <w:ins w:id="12" w:author="vivo-r00" w:date="2025-08-14T17:31:00Z"/>
                <w:rFonts w:ascii="Arial" w:eastAsia="等线" w:hAnsi="Arial"/>
                <w:sz w:val="18"/>
                <w:lang w:eastAsia="ko-KR"/>
              </w:rPr>
            </w:pPr>
            <w:ins w:id="13" w:author="vivo-r00" w:date="2025-08-14T17:31:00Z">
              <w:r w:rsidRPr="00257516">
                <w:rPr>
                  <w:rFonts w:ascii="Arial" w:eastAsia="等线" w:hAnsi="Arial"/>
                  <w:sz w:val="18"/>
                  <w:lang w:eastAsia="ko-KR"/>
                </w:rPr>
                <w:t>&gt;&gt; Confidence</w:t>
              </w:r>
            </w:ins>
          </w:p>
        </w:tc>
        <w:tc>
          <w:tcPr>
            <w:tcW w:w="5670" w:type="dxa"/>
          </w:tcPr>
          <w:p w14:paraId="59479D17" w14:textId="253377DE" w:rsidR="00704D4A" w:rsidRPr="00D72DD6" w:rsidRDefault="00704D4A" w:rsidP="00704D4A">
            <w:pPr>
              <w:keepNext/>
              <w:keepLines/>
              <w:overflowPunct w:val="0"/>
              <w:autoSpaceDE w:val="0"/>
              <w:autoSpaceDN w:val="0"/>
              <w:adjustRightInd w:val="0"/>
              <w:spacing w:after="0"/>
              <w:textAlignment w:val="baseline"/>
              <w:rPr>
                <w:ins w:id="14" w:author="vivo-r00" w:date="2025-08-14T17:31:00Z"/>
                <w:rFonts w:ascii="Arial" w:eastAsia="等线" w:hAnsi="Arial"/>
                <w:sz w:val="18"/>
                <w:lang w:eastAsia="ko-KR"/>
              </w:rPr>
            </w:pPr>
            <w:ins w:id="15" w:author="vivo-r00" w:date="2025-08-14T17:31:00Z">
              <w:r w:rsidRPr="00257516">
                <w:rPr>
                  <w:rFonts w:ascii="Arial" w:eastAsia="等线" w:hAnsi="Arial"/>
                  <w:sz w:val="18"/>
                  <w:lang w:eastAsia="ko-KR"/>
                </w:rPr>
                <w:t>Confidence of the prediction</w:t>
              </w:r>
            </w:ins>
          </w:p>
        </w:tc>
      </w:tr>
      <w:tr w:rsidR="00704D4A" w:rsidRPr="00D72DD6" w14:paraId="122B0288" w14:textId="77777777" w:rsidTr="00BB43A7">
        <w:trPr>
          <w:cantSplit/>
          <w:jc w:val="center"/>
        </w:trPr>
        <w:tc>
          <w:tcPr>
            <w:tcW w:w="2882" w:type="dxa"/>
          </w:tcPr>
          <w:p w14:paraId="30E4F0BE" w14:textId="77777777" w:rsidR="00704D4A" w:rsidRPr="00D72DD6" w:rsidRDefault="00704D4A" w:rsidP="00704D4A">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List of Analytics per UE</w:t>
            </w:r>
          </w:p>
        </w:tc>
        <w:tc>
          <w:tcPr>
            <w:tcW w:w="5670" w:type="dxa"/>
          </w:tcPr>
          <w:p w14:paraId="59F474A0" w14:textId="77777777" w:rsidR="00704D4A" w:rsidRPr="00D72DD6" w:rsidRDefault="00704D4A" w:rsidP="00704D4A">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hint="eastAsia"/>
                <w:sz w:val="18"/>
                <w:lang w:eastAsia="en-GB"/>
              </w:rPr>
              <w:t>U</w:t>
            </w:r>
            <w:r w:rsidRPr="00D72DD6">
              <w:rPr>
                <w:rFonts w:ascii="Arial" w:eastAsia="等线" w:hAnsi="Arial"/>
                <w:sz w:val="18"/>
                <w:lang w:eastAsia="en-GB"/>
              </w:rPr>
              <w:t>E ID(s) of WLAN performance analytics</w:t>
            </w:r>
          </w:p>
        </w:tc>
      </w:tr>
      <w:tr w:rsidR="00704D4A" w:rsidRPr="00D72DD6" w14:paraId="085A3805" w14:textId="77777777" w:rsidTr="00BB43A7">
        <w:trPr>
          <w:cantSplit/>
          <w:jc w:val="center"/>
        </w:trPr>
        <w:tc>
          <w:tcPr>
            <w:tcW w:w="2882" w:type="dxa"/>
          </w:tcPr>
          <w:p w14:paraId="170CDE2C" w14:textId="77777777" w:rsidR="00704D4A" w:rsidRPr="00D72DD6" w:rsidRDefault="00704D4A" w:rsidP="00704D4A">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&gt; Time slot entry (</w:t>
            </w:r>
            <w:proofErr w:type="gramStart"/>
            <w:r w:rsidRPr="00D72DD6">
              <w:rPr>
                <w:rFonts w:ascii="Arial" w:eastAsia="等线" w:hAnsi="Arial"/>
                <w:sz w:val="18"/>
                <w:lang w:eastAsia="en-GB"/>
              </w:rPr>
              <w:t>1..</w:t>
            </w:r>
            <w:proofErr w:type="gramEnd"/>
            <w:r w:rsidRPr="00D72DD6">
              <w:rPr>
                <w:rFonts w:ascii="Arial" w:eastAsia="等线" w:hAnsi="Arial"/>
                <w:sz w:val="18"/>
                <w:lang w:eastAsia="en-GB"/>
              </w:rPr>
              <w:t>max)</w:t>
            </w:r>
          </w:p>
        </w:tc>
        <w:tc>
          <w:tcPr>
            <w:tcW w:w="5670" w:type="dxa"/>
          </w:tcPr>
          <w:p w14:paraId="63B3EB64" w14:textId="77777777" w:rsidR="00704D4A" w:rsidRPr="00D72DD6" w:rsidRDefault="00704D4A" w:rsidP="00704D4A">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List of time slots during the Analytics target period</w:t>
            </w:r>
          </w:p>
        </w:tc>
      </w:tr>
      <w:tr w:rsidR="00704D4A" w:rsidRPr="00D72DD6" w14:paraId="4D3EC525" w14:textId="77777777" w:rsidTr="00BB43A7">
        <w:trPr>
          <w:cantSplit/>
          <w:jc w:val="center"/>
        </w:trPr>
        <w:tc>
          <w:tcPr>
            <w:tcW w:w="2882" w:type="dxa"/>
          </w:tcPr>
          <w:p w14:paraId="0823BF62" w14:textId="77777777" w:rsidR="00704D4A" w:rsidRPr="00D72DD6" w:rsidRDefault="00704D4A" w:rsidP="00704D4A">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&gt;&gt; Time slot start</w:t>
            </w:r>
          </w:p>
        </w:tc>
        <w:tc>
          <w:tcPr>
            <w:tcW w:w="5670" w:type="dxa"/>
          </w:tcPr>
          <w:p w14:paraId="5E71C27B" w14:textId="77777777" w:rsidR="00704D4A" w:rsidRPr="00D72DD6" w:rsidRDefault="00704D4A" w:rsidP="00704D4A">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Time slot start time within the Analytics target period</w:t>
            </w:r>
          </w:p>
        </w:tc>
      </w:tr>
      <w:tr w:rsidR="00704D4A" w:rsidRPr="00D72DD6" w14:paraId="7040AF50" w14:textId="77777777" w:rsidTr="00BB43A7">
        <w:trPr>
          <w:cantSplit/>
          <w:jc w:val="center"/>
        </w:trPr>
        <w:tc>
          <w:tcPr>
            <w:tcW w:w="2882" w:type="dxa"/>
          </w:tcPr>
          <w:p w14:paraId="7C1DFBD2" w14:textId="77777777" w:rsidR="00704D4A" w:rsidRPr="00D72DD6" w:rsidRDefault="00704D4A" w:rsidP="00704D4A">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&gt;&gt; Duration</w:t>
            </w:r>
          </w:p>
        </w:tc>
        <w:tc>
          <w:tcPr>
            <w:tcW w:w="5670" w:type="dxa"/>
          </w:tcPr>
          <w:p w14:paraId="2552B043" w14:textId="77777777" w:rsidR="00704D4A" w:rsidRPr="00D72DD6" w:rsidRDefault="00704D4A" w:rsidP="00704D4A">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Duration of the time slot</w:t>
            </w:r>
          </w:p>
        </w:tc>
      </w:tr>
      <w:tr w:rsidR="00704D4A" w:rsidRPr="00D72DD6" w14:paraId="607AEC8D" w14:textId="77777777" w:rsidTr="00BB43A7">
        <w:trPr>
          <w:cantSplit/>
          <w:jc w:val="center"/>
        </w:trPr>
        <w:tc>
          <w:tcPr>
            <w:tcW w:w="2882" w:type="dxa"/>
          </w:tcPr>
          <w:p w14:paraId="7C927A02" w14:textId="77777777" w:rsidR="00704D4A" w:rsidRPr="00D72DD6" w:rsidRDefault="00704D4A" w:rsidP="00704D4A">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&gt;&gt; RSSI (NOTE 1)</w:t>
            </w:r>
          </w:p>
        </w:tc>
        <w:tc>
          <w:tcPr>
            <w:tcW w:w="5670" w:type="dxa"/>
          </w:tcPr>
          <w:p w14:paraId="1A5F98F0" w14:textId="77777777" w:rsidR="00704D4A" w:rsidRPr="00D72DD6" w:rsidRDefault="00704D4A" w:rsidP="00704D4A">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Measured RSSI</w:t>
            </w:r>
          </w:p>
        </w:tc>
      </w:tr>
      <w:tr w:rsidR="00704D4A" w:rsidRPr="00D72DD6" w14:paraId="371FD3B0" w14:textId="77777777" w:rsidTr="00BB43A7">
        <w:trPr>
          <w:cantSplit/>
          <w:jc w:val="center"/>
        </w:trPr>
        <w:tc>
          <w:tcPr>
            <w:tcW w:w="2882" w:type="dxa"/>
          </w:tcPr>
          <w:p w14:paraId="66D1D45B" w14:textId="77777777" w:rsidR="00704D4A" w:rsidRPr="00D72DD6" w:rsidRDefault="00704D4A" w:rsidP="00704D4A">
            <w:pPr>
              <w:keepNext/>
              <w:keepLines/>
              <w:overflowPunct w:val="0"/>
              <w:autoSpaceDE w:val="0"/>
              <w:autoSpaceDN w:val="0"/>
              <w:adjustRightInd w:val="0"/>
              <w:spacing w:after="0"/>
              <w:textAlignment w:val="baseline"/>
              <w:rPr>
                <w:rFonts w:ascii="Arial" w:eastAsia="等线" w:hAnsi="Arial"/>
                <w:sz w:val="18"/>
                <w:lang w:eastAsia="ko-KR"/>
              </w:rPr>
            </w:pPr>
            <w:r w:rsidRPr="00D72DD6">
              <w:rPr>
                <w:rFonts w:ascii="Arial" w:eastAsia="等线" w:hAnsi="Arial"/>
                <w:sz w:val="18"/>
                <w:lang w:eastAsia="en-GB"/>
              </w:rPr>
              <w:t>&gt;&gt; RTT (NOTE 1)</w:t>
            </w:r>
          </w:p>
        </w:tc>
        <w:tc>
          <w:tcPr>
            <w:tcW w:w="5670" w:type="dxa"/>
          </w:tcPr>
          <w:p w14:paraId="1ACC9FEC" w14:textId="77777777" w:rsidR="00704D4A" w:rsidRPr="00D72DD6" w:rsidRDefault="00704D4A" w:rsidP="00704D4A">
            <w:pPr>
              <w:keepNext/>
              <w:keepLines/>
              <w:overflowPunct w:val="0"/>
              <w:autoSpaceDE w:val="0"/>
              <w:autoSpaceDN w:val="0"/>
              <w:adjustRightInd w:val="0"/>
              <w:spacing w:after="0"/>
              <w:textAlignment w:val="baseline"/>
              <w:rPr>
                <w:rFonts w:ascii="Arial" w:eastAsia="等线" w:hAnsi="Arial"/>
                <w:sz w:val="18"/>
                <w:lang w:eastAsia="ko-KR"/>
              </w:rPr>
            </w:pPr>
            <w:r w:rsidRPr="00D72DD6">
              <w:rPr>
                <w:rFonts w:ascii="Arial" w:eastAsia="等线" w:hAnsi="Arial"/>
                <w:sz w:val="18"/>
                <w:lang w:eastAsia="en-GB"/>
              </w:rPr>
              <w:t>Measured RTT</w:t>
            </w:r>
          </w:p>
        </w:tc>
      </w:tr>
      <w:tr w:rsidR="00704D4A" w:rsidRPr="00D72DD6" w14:paraId="21025F3D" w14:textId="77777777" w:rsidTr="00BB43A7">
        <w:trPr>
          <w:cantSplit/>
          <w:jc w:val="center"/>
        </w:trPr>
        <w:tc>
          <w:tcPr>
            <w:tcW w:w="2882" w:type="dxa"/>
          </w:tcPr>
          <w:p w14:paraId="5B08CE31" w14:textId="77777777" w:rsidR="00704D4A" w:rsidRPr="00D72DD6" w:rsidRDefault="00704D4A" w:rsidP="00704D4A">
            <w:pPr>
              <w:keepNext/>
              <w:keepLines/>
              <w:overflowPunct w:val="0"/>
              <w:autoSpaceDE w:val="0"/>
              <w:autoSpaceDN w:val="0"/>
              <w:adjustRightInd w:val="0"/>
              <w:spacing w:after="0"/>
              <w:textAlignment w:val="baseline"/>
              <w:rPr>
                <w:rFonts w:ascii="Arial" w:eastAsia="等线" w:hAnsi="Arial"/>
                <w:sz w:val="18"/>
                <w:lang w:eastAsia="ko-KR"/>
              </w:rPr>
            </w:pPr>
            <w:r w:rsidRPr="00D72DD6">
              <w:rPr>
                <w:rFonts w:ascii="Arial" w:eastAsia="等线" w:hAnsi="Arial"/>
                <w:sz w:val="18"/>
                <w:lang w:eastAsia="en-GB"/>
              </w:rPr>
              <w:t>&gt;&gt; Traffic Information (NOTE 1)</w:t>
            </w:r>
          </w:p>
        </w:tc>
        <w:tc>
          <w:tcPr>
            <w:tcW w:w="5670" w:type="dxa"/>
          </w:tcPr>
          <w:p w14:paraId="7BDB2409" w14:textId="77777777" w:rsidR="00704D4A" w:rsidRPr="00D72DD6" w:rsidRDefault="00704D4A" w:rsidP="00704D4A">
            <w:pPr>
              <w:keepNext/>
              <w:keepLines/>
              <w:overflowPunct w:val="0"/>
              <w:autoSpaceDE w:val="0"/>
              <w:autoSpaceDN w:val="0"/>
              <w:adjustRightInd w:val="0"/>
              <w:spacing w:after="0"/>
              <w:textAlignment w:val="baseline"/>
              <w:rPr>
                <w:rFonts w:ascii="Arial" w:eastAsia="等线" w:hAnsi="Arial"/>
                <w:sz w:val="18"/>
                <w:lang w:eastAsia="ko-KR"/>
              </w:rPr>
            </w:pPr>
            <w:r w:rsidRPr="00D72DD6">
              <w:rPr>
                <w:rFonts w:ascii="Arial" w:eastAsia="等线" w:hAnsi="Arial"/>
                <w:sz w:val="18"/>
                <w:lang w:eastAsia="en-GB"/>
              </w:rPr>
              <w:t>UL/DL data rate, Traffic volume</w:t>
            </w:r>
          </w:p>
        </w:tc>
      </w:tr>
      <w:tr w:rsidR="00704D4A" w:rsidRPr="00D72DD6" w14:paraId="431DCA54" w14:textId="77777777" w:rsidTr="00BB43A7">
        <w:trPr>
          <w:cantSplit/>
          <w:jc w:val="center"/>
        </w:trPr>
        <w:tc>
          <w:tcPr>
            <w:tcW w:w="2882" w:type="dxa"/>
          </w:tcPr>
          <w:p w14:paraId="730C6546" w14:textId="77777777" w:rsidR="00704D4A" w:rsidRPr="00D72DD6" w:rsidRDefault="00704D4A" w:rsidP="00704D4A">
            <w:pPr>
              <w:keepNext/>
              <w:keepLines/>
              <w:overflowPunct w:val="0"/>
              <w:autoSpaceDE w:val="0"/>
              <w:autoSpaceDN w:val="0"/>
              <w:adjustRightInd w:val="0"/>
              <w:spacing w:after="0"/>
              <w:textAlignment w:val="baseline"/>
              <w:rPr>
                <w:rFonts w:ascii="Arial" w:eastAsia="等线" w:hAnsi="Arial"/>
                <w:sz w:val="18"/>
                <w:lang w:eastAsia="ko-KR"/>
              </w:rPr>
            </w:pPr>
            <w:r w:rsidRPr="00D72DD6">
              <w:rPr>
                <w:rFonts w:ascii="Arial" w:eastAsia="等线" w:hAnsi="Arial"/>
                <w:sz w:val="18"/>
                <w:lang w:eastAsia="ko-KR"/>
              </w:rPr>
              <w:t>&gt;&gt; Confidence</w:t>
            </w:r>
          </w:p>
        </w:tc>
        <w:tc>
          <w:tcPr>
            <w:tcW w:w="5670" w:type="dxa"/>
          </w:tcPr>
          <w:p w14:paraId="3D961E86" w14:textId="77777777" w:rsidR="00704D4A" w:rsidRPr="00D72DD6" w:rsidRDefault="00704D4A" w:rsidP="00704D4A">
            <w:pPr>
              <w:keepNext/>
              <w:keepLines/>
              <w:overflowPunct w:val="0"/>
              <w:autoSpaceDE w:val="0"/>
              <w:autoSpaceDN w:val="0"/>
              <w:adjustRightInd w:val="0"/>
              <w:spacing w:after="0"/>
              <w:textAlignment w:val="baseline"/>
              <w:rPr>
                <w:rFonts w:ascii="Arial" w:eastAsia="等线" w:hAnsi="Arial"/>
                <w:sz w:val="18"/>
                <w:lang w:eastAsia="ko-KR"/>
              </w:rPr>
            </w:pPr>
            <w:r w:rsidRPr="00D72DD6">
              <w:rPr>
                <w:rFonts w:ascii="Arial" w:eastAsia="等线" w:hAnsi="Arial"/>
                <w:sz w:val="18"/>
                <w:lang w:eastAsia="ko-KR"/>
              </w:rPr>
              <w:t>Confidence of the prediction</w:t>
            </w:r>
          </w:p>
        </w:tc>
      </w:tr>
      <w:tr w:rsidR="00704D4A" w:rsidRPr="00D72DD6" w14:paraId="20F9592C" w14:textId="77777777" w:rsidTr="00BB43A7">
        <w:trPr>
          <w:cantSplit/>
          <w:jc w:val="center"/>
        </w:trPr>
        <w:tc>
          <w:tcPr>
            <w:tcW w:w="8552" w:type="dxa"/>
            <w:gridSpan w:val="2"/>
          </w:tcPr>
          <w:p w14:paraId="68E7D593" w14:textId="77777777" w:rsidR="00704D4A" w:rsidRPr="00D72DD6" w:rsidRDefault="00704D4A" w:rsidP="00704D4A">
            <w:pPr>
              <w:keepNext/>
              <w:keepLines/>
              <w:overflowPunct w:val="0"/>
              <w:autoSpaceDE w:val="0"/>
              <w:autoSpaceDN w:val="0"/>
              <w:adjustRightInd w:val="0"/>
              <w:spacing w:after="0"/>
              <w:ind w:left="851" w:hanging="851"/>
              <w:textAlignment w:val="baseline"/>
              <w:rPr>
                <w:rFonts w:ascii="Arial" w:eastAsia="等线" w:hAnsi="Arial"/>
                <w:sz w:val="18"/>
                <w:lang w:eastAsia="ko-KR"/>
              </w:rPr>
            </w:pPr>
            <w:r w:rsidRPr="00D72DD6">
              <w:rPr>
                <w:rFonts w:ascii="Arial" w:eastAsia="等线" w:hAnsi="Arial"/>
                <w:sz w:val="18"/>
                <w:lang w:eastAsia="ko-KR"/>
              </w:rPr>
              <w:t>NOTE 1:</w:t>
            </w:r>
            <w:r w:rsidRPr="00D72DD6">
              <w:rPr>
                <w:rFonts w:ascii="Arial" w:eastAsia="等线" w:hAnsi="Arial"/>
                <w:sz w:val="18"/>
                <w:lang w:eastAsia="ko-KR"/>
              </w:rPr>
              <w:tab/>
              <w:t>This information element is an analytics subset that can be used in "list of analytics subsets that are requested" and "preferred level of accuracy per analytics subset".</w:t>
            </w:r>
          </w:p>
        </w:tc>
      </w:tr>
    </w:tbl>
    <w:p w14:paraId="18DEAEA0" w14:textId="77777777" w:rsidR="00D72DD6" w:rsidRPr="00D72DD6" w:rsidRDefault="00D72DD6" w:rsidP="00D72DD6">
      <w:pPr>
        <w:overflowPunct w:val="0"/>
        <w:autoSpaceDE w:val="0"/>
        <w:autoSpaceDN w:val="0"/>
        <w:adjustRightInd w:val="0"/>
        <w:spacing w:after="0"/>
        <w:textAlignment w:val="baseline"/>
        <w:rPr>
          <w:rFonts w:eastAsia="等线"/>
          <w:lang w:eastAsia="en-GB"/>
        </w:rPr>
      </w:pPr>
    </w:p>
    <w:p w14:paraId="793EA625" w14:textId="77777777" w:rsidR="004630DD" w:rsidRPr="00D72DD6" w:rsidRDefault="004630DD" w:rsidP="004630DD">
      <w:pPr>
        <w:rPr>
          <w:noProof/>
          <w:lang w:eastAsia="ko-KR"/>
        </w:rPr>
      </w:pPr>
    </w:p>
    <w:bookmarkEnd w:id="2"/>
    <w:bookmarkEnd w:id="3"/>
    <w:p w14:paraId="582D6FF9" w14:textId="77777777" w:rsidR="00B72A7E" w:rsidRPr="00F614AB" w:rsidRDefault="00B72A7E" w:rsidP="00B72A7E">
      <w:pPr>
        <w:pBdr>
          <w:top w:val="single" w:sz="4" w:space="1" w:color="auto"/>
          <w:left w:val="single" w:sz="4" w:space="4" w:color="auto"/>
          <w:bottom w:val="single" w:sz="4" w:space="0"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F614AB">
        <w:rPr>
          <w:rFonts w:ascii="Arial" w:eastAsia="宋体" w:hAnsi="Arial" w:cs="Arial"/>
          <w:color w:val="FF0000"/>
          <w:sz w:val="28"/>
          <w:szCs w:val="28"/>
          <w:lang w:val="en-US"/>
        </w:rPr>
        <w:t xml:space="preserve">* * * * </w:t>
      </w:r>
      <w:r w:rsidRPr="00F614AB">
        <w:rPr>
          <w:rFonts w:ascii="Arial" w:eastAsia="宋体" w:hAnsi="Arial" w:cs="Arial"/>
          <w:color w:val="FF0000"/>
          <w:sz w:val="28"/>
          <w:szCs w:val="28"/>
          <w:lang w:val="en-US" w:eastAsia="zh-CN"/>
        </w:rPr>
        <w:t xml:space="preserve">Next change </w:t>
      </w:r>
      <w:r w:rsidRPr="00F614AB">
        <w:rPr>
          <w:rFonts w:ascii="Arial" w:eastAsia="宋体" w:hAnsi="Arial" w:cs="Arial"/>
          <w:color w:val="FF0000"/>
          <w:sz w:val="28"/>
          <w:szCs w:val="28"/>
          <w:lang w:val="en-US"/>
        </w:rPr>
        <w:t>* * * *</w:t>
      </w:r>
    </w:p>
    <w:p w14:paraId="5B299CFD" w14:textId="77777777" w:rsidR="005D63D6" w:rsidRPr="005D63D6" w:rsidRDefault="005D63D6" w:rsidP="005D63D6">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16" w:name="_Toc201137397"/>
      <w:r w:rsidRPr="005D63D6">
        <w:rPr>
          <w:rFonts w:ascii="Arial" w:eastAsia="等线" w:hAnsi="Arial"/>
          <w:sz w:val="28"/>
          <w:lang w:eastAsia="en-GB"/>
        </w:rPr>
        <w:t>6.18.3</w:t>
      </w:r>
      <w:r w:rsidRPr="005D63D6">
        <w:rPr>
          <w:rFonts w:ascii="Arial" w:eastAsia="等线" w:hAnsi="Arial"/>
          <w:sz w:val="28"/>
          <w:lang w:eastAsia="en-GB"/>
        </w:rPr>
        <w:tab/>
        <w:t>Output Analytics</w:t>
      </w:r>
    </w:p>
    <w:p w14:paraId="6678743E" w14:textId="77777777" w:rsidR="005D63D6" w:rsidRPr="005D63D6" w:rsidRDefault="005D63D6" w:rsidP="005D63D6">
      <w:pPr>
        <w:overflowPunct w:val="0"/>
        <w:autoSpaceDE w:val="0"/>
        <w:autoSpaceDN w:val="0"/>
        <w:adjustRightInd w:val="0"/>
        <w:textAlignment w:val="baseline"/>
        <w:rPr>
          <w:rFonts w:eastAsia="等线"/>
          <w:lang w:eastAsia="en-GB"/>
        </w:rPr>
      </w:pPr>
      <w:r w:rsidRPr="005D63D6">
        <w:rPr>
          <w:rFonts w:eastAsia="等线"/>
          <w:lang w:eastAsia="en-GB"/>
        </w:rPr>
        <w:t>The NWDAF supporting E2E data volume transfer time analytics provides the analytics results to consumer NFs, e.g. AF, or NEF. The analytics results provided by the NWDAF could be E2E data volume transfer time statistics as defined in Table 6.18.3-1 or predictions as defined in table 6.18.3-2.</w:t>
      </w:r>
    </w:p>
    <w:p w14:paraId="361062AA" w14:textId="77777777" w:rsidR="005D63D6" w:rsidRPr="005D63D6" w:rsidRDefault="005D63D6" w:rsidP="005D63D6">
      <w:pPr>
        <w:keepNext/>
        <w:keepLines/>
        <w:overflowPunct w:val="0"/>
        <w:autoSpaceDE w:val="0"/>
        <w:autoSpaceDN w:val="0"/>
        <w:adjustRightInd w:val="0"/>
        <w:spacing w:before="60"/>
        <w:jc w:val="center"/>
        <w:textAlignment w:val="baseline"/>
        <w:rPr>
          <w:rFonts w:ascii="Arial" w:eastAsia="等线" w:hAnsi="Arial"/>
          <w:b/>
          <w:lang w:eastAsia="en-GB"/>
        </w:rPr>
      </w:pPr>
      <w:bookmarkStart w:id="17" w:name="_CRTable6_18_31"/>
      <w:r w:rsidRPr="005D63D6">
        <w:rPr>
          <w:rFonts w:ascii="Arial" w:eastAsia="等线" w:hAnsi="Arial"/>
          <w:b/>
          <w:lang w:eastAsia="en-GB"/>
        </w:rPr>
        <w:lastRenderedPageBreak/>
        <w:t xml:space="preserve">Table </w:t>
      </w:r>
      <w:bookmarkEnd w:id="17"/>
      <w:r w:rsidRPr="005D63D6">
        <w:rPr>
          <w:rFonts w:ascii="Arial" w:eastAsia="等线" w:hAnsi="Arial"/>
          <w:b/>
          <w:lang w:eastAsia="en-GB"/>
        </w:rPr>
        <w:t>6.18.3-1: E2E data volume transfer time statistics</w:t>
      </w:r>
    </w:p>
    <w:tbl>
      <w:tblPr>
        <w:tblStyle w:val="af3"/>
        <w:tblW w:w="0" w:type="auto"/>
        <w:tblLook w:val="04A0" w:firstRow="1" w:lastRow="0" w:firstColumn="1" w:lastColumn="0" w:noHBand="0" w:noVBand="1"/>
      </w:tblPr>
      <w:tblGrid>
        <w:gridCol w:w="2547"/>
        <w:gridCol w:w="7082"/>
      </w:tblGrid>
      <w:tr w:rsidR="005D63D6" w:rsidRPr="005D63D6" w14:paraId="23504497" w14:textId="77777777" w:rsidTr="00BB43A7">
        <w:tc>
          <w:tcPr>
            <w:tcW w:w="2547" w:type="dxa"/>
          </w:tcPr>
          <w:p w14:paraId="2DA5DC11" w14:textId="77777777" w:rsidR="005D63D6" w:rsidRPr="005D63D6" w:rsidRDefault="005D63D6" w:rsidP="005D63D6">
            <w:pPr>
              <w:keepNext/>
              <w:keepLines/>
              <w:overflowPunct w:val="0"/>
              <w:autoSpaceDE w:val="0"/>
              <w:autoSpaceDN w:val="0"/>
              <w:adjustRightInd w:val="0"/>
              <w:spacing w:after="0"/>
              <w:jc w:val="center"/>
              <w:textAlignment w:val="baseline"/>
              <w:rPr>
                <w:rFonts w:ascii="Arial" w:eastAsia="等线" w:hAnsi="Arial"/>
                <w:b/>
                <w:sz w:val="18"/>
                <w:lang w:eastAsia="en-GB"/>
              </w:rPr>
            </w:pPr>
            <w:r w:rsidRPr="005D63D6">
              <w:rPr>
                <w:rFonts w:ascii="Arial" w:eastAsia="等线" w:hAnsi="Arial"/>
                <w:b/>
                <w:sz w:val="18"/>
                <w:lang w:eastAsia="en-GB"/>
              </w:rPr>
              <w:t>Information</w:t>
            </w:r>
          </w:p>
        </w:tc>
        <w:tc>
          <w:tcPr>
            <w:tcW w:w="7084" w:type="dxa"/>
          </w:tcPr>
          <w:p w14:paraId="4EF83684" w14:textId="77777777" w:rsidR="005D63D6" w:rsidRPr="005D63D6" w:rsidRDefault="005D63D6" w:rsidP="005D63D6">
            <w:pPr>
              <w:keepNext/>
              <w:keepLines/>
              <w:overflowPunct w:val="0"/>
              <w:autoSpaceDE w:val="0"/>
              <w:autoSpaceDN w:val="0"/>
              <w:adjustRightInd w:val="0"/>
              <w:spacing w:after="0"/>
              <w:jc w:val="center"/>
              <w:textAlignment w:val="baseline"/>
              <w:rPr>
                <w:rFonts w:ascii="Arial" w:eastAsia="等线" w:hAnsi="Arial"/>
                <w:b/>
                <w:sz w:val="18"/>
                <w:lang w:eastAsia="en-GB"/>
              </w:rPr>
            </w:pPr>
            <w:r w:rsidRPr="005D63D6">
              <w:rPr>
                <w:rFonts w:ascii="Arial" w:eastAsia="等线" w:hAnsi="Arial"/>
                <w:b/>
                <w:sz w:val="18"/>
                <w:lang w:eastAsia="en-GB"/>
              </w:rPr>
              <w:t>Description</w:t>
            </w:r>
          </w:p>
        </w:tc>
      </w:tr>
      <w:tr w:rsidR="005D63D6" w:rsidRPr="005D63D6" w14:paraId="23FA1F8B" w14:textId="77777777" w:rsidTr="00BB43A7">
        <w:tc>
          <w:tcPr>
            <w:tcW w:w="2547" w:type="dxa"/>
          </w:tcPr>
          <w:p w14:paraId="59641824"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UE ID or list of UE IDs (</w:t>
            </w:r>
            <w:proofErr w:type="gramStart"/>
            <w:r w:rsidRPr="005D63D6">
              <w:rPr>
                <w:rFonts w:ascii="Arial" w:eastAsia="等线" w:hAnsi="Arial"/>
                <w:sz w:val="18"/>
                <w:lang w:eastAsia="en-GB"/>
              </w:rPr>
              <w:t>1..</w:t>
            </w:r>
            <w:proofErr w:type="gramEnd"/>
            <w:r w:rsidRPr="005D63D6">
              <w:rPr>
                <w:rFonts w:ascii="Arial" w:eastAsia="等线" w:hAnsi="Arial"/>
                <w:sz w:val="18"/>
                <w:lang w:eastAsia="en-GB"/>
              </w:rPr>
              <w:t>SUPImax)</w:t>
            </w:r>
          </w:p>
        </w:tc>
        <w:tc>
          <w:tcPr>
            <w:tcW w:w="7084" w:type="dxa"/>
          </w:tcPr>
          <w:p w14:paraId="6FFEFB43"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Identifies the UE(s)for which the statistic applies by a list of SUPIs.</w:t>
            </w:r>
          </w:p>
        </w:tc>
      </w:tr>
      <w:tr w:rsidR="005D63D6" w:rsidRPr="005D63D6" w14:paraId="00253CF6" w14:textId="77777777" w:rsidTr="00BB43A7">
        <w:tc>
          <w:tcPr>
            <w:tcW w:w="2547" w:type="dxa"/>
          </w:tcPr>
          <w:p w14:paraId="4D98E80B"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Time slot entry (</w:t>
            </w:r>
            <w:proofErr w:type="gramStart"/>
            <w:r w:rsidRPr="005D63D6">
              <w:rPr>
                <w:rFonts w:ascii="Arial" w:eastAsia="等线" w:hAnsi="Arial"/>
                <w:sz w:val="18"/>
                <w:lang w:eastAsia="en-GB"/>
              </w:rPr>
              <w:t>1..</w:t>
            </w:r>
            <w:proofErr w:type="gramEnd"/>
            <w:r w:rsidRPr="005D63D6">
              <w:rPr>
                <w:rFonts w:ascii="Arial" w:eastAsia="等线" w:hAnsi="Arial"/>
                <w:sz w:val="18"/>
                <w:lang w:eastAsia="en-GB"/>
              </w:rPr>
              <w:t>max)</w:t>
            </w:r>
          </w:p>
        </w:tc>
        <w:tc>
          <w:tcPr>
            <w:tcW w:w="7084" w:type="dxa"/>
          </w:tcPr>
          <w:p w14:paraId="7E0AD1F2"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List of time slots during the Analytics target period.</w:t>
            </w:r>
          </w:p>
        </w:tc>
      </w:tr>
      <w:tr w:rsidR="005D63D6" w:rsidRPr="005D63D6" w14:paraId="40609980" w14:textId="77777777" w:rsidTr="00BB43A7">
        <w:tc>
          <w:tcPr>
            <w:tcW w:w="2547" w:type="dxa"/>
          </w:tcPr>
          <w:p w14:paraId="2FA04937"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 Time slot start</w:t>
            </w:r>
          </w:p>
        </w:tc>
        <w:tc>
          <w:tcPr>
            <w:tcW w:w="7084" w:type="dxa"/>
          </w:tcPr>
          <w:p w14:paraId="33257E07"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Time slot start within the Analytics target period.</w:t>
            </w:r>
          </w:p>
        </w:tc>
      </w:tr>
      <w:tr w:rsidR="005D63D6" w:rsidRPr="005D63D6" w14:paraId="0C64366C" w14:textId="77777777" w:rsidTr="00BB43A7">
        <w:tc>
          <w:tcPr>
            <w:tcW w:w="2547" w:type="dxa"/>
          </w:tcPr>
          <w:p w14:paraId="54ED9DDD"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 Duration</w:t>
            </w:r>
          </w:p>
        </w:tc>
        <w:tc>
          <w:tcPr>
            <w:tcW w:w="7084" w:type="dxa"/>
          </w:tcPr>
          <w:p w14:paraId="3ACE035F"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Duration of the time slot.</w:t>
            </w:r>
          </w:p>
        </w:tc>
      </w:tr>
      <w:tr w:rsidR="005D63D6" w:rsidRPr="005D63D6" w14:paraId="76A81690" w14:textId="77777777" w:rsidTr="00BB43A7">
        <w:tc>
          <w:tcPr>
            <w:tcW w:w="2547" w:type="dxa"/>
          </w:tcPr>
          <w:p w14:paraId="7B8877B7"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 xml:space="preserve">&gt; E2E data volume transfer time information (1…max) </w:t>
            </w:r>
          </w:p>
        </w:tc>
        <w:tc>
          <w:tcPr>
            <w:tcW w:w="7084" w:type="dxa"/>
          </w:tcPr>
          <w:p w14:paraId="3D65A74F"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List of E2E data volume transfer time statistics per UE.</w:t>
            </w:r>
          </w:p>
          <w:p w14:paraId="7FD0570A"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Max. is the number of UEs, if applicable.</w:t>
            </w:r>
          </w:p>
        </w:tc>
      </w:tr>
      <w:tr w:rsidR="005D63D6" w:rsidRPr="005D63D6" w14:paraId="4360C9E0" w14:textId="77777777" w:rsidTr="00BB43A7">
        <w:tc>
          <w:tcPr>
            <w:tcW w:w="2547" w:type="dxa"/>
          </w:tcPr>
          <w:p w14:paraId="29767CF0"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Application ID</w:t>
            </w:r>
          </w:p>
        </w:tc>
        <w:tc>
          <w:tcPr>
            <w:tcW w:w="7084" w:type="dxa"/>
          </w:tcPr>
          <w:p w14:paraId="41A3C8F2"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Identifies</w:t>
            </w:r>
            <w:r w:rsidRPr="005D63D6">
              <w:rPr>
                <w:rFonts w:ascii="Arial" w:eastAsia="宋体" w:hAnsi="Arial"/>
                <w:sz w:val="18"/>
                <w:lang w:eastAsia="en-GB"/>
              </w:rPr>
              <w:t xml:space="preserve"> the application in use during the time slot</w:t>
            </w:r>
          </w:p>
        </w:tc>
      </w:tr>
      <w:tr w:rsidR="005D63D6" w:rsidRPr="005D63D6" w14:paraId="01081B87" w14:textId="77777777" w:rsidTr="00BB43A7">
        <w:tc>
          <w:tcPr>
            <w:tcW w:w="2547" w:type="dxa"/>
          </w:tcPr>
          <w:p w14:paraId="732D67AB"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UE location</w:t>
            </w:r>
          </w:p>
        </w:tc>
        <w:tc>
          <w:tcPr>
            <w:tcW w:w="7084" w:type="dxa"/>
          </w:tcPr>
          <w:p w14:paraId="2FEF0E66"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Indicate the UE location information when the service is delivered.</w:t>
            </w:r>
          </w:p>
        </w:tc>
      </w:tr>
      <w:tr w:rsidR="005D63D6" w:rsidRPr="005D63D6" w14:paraId="5BAD7C17" w14:textId="77777777" w:rsidTr="00BB43A7">
        <w:tc>
          <w:tcPr>
            <w:tcW w:w="2547" w:type="dxa"/>
          </w:tcPr>
          <w:p w14:paraId="2F14AD8F"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宋体" w:hAnsi="Arial"/>
                <w:sz w:val="18"/>
                <w:lang w:eastAsia="en-GB"/>
              </w:rPr>
              <w:t>&gt;&gt; DNN</w:t>
            </w:r>
          </w:p>
        </w:tc>
        <w:tc>
          <w:tcPr>
            <w:tcW w:w="7084" w:type="dxa"/>
          </w:tcPr>
          <w:p w14:paraId="47532489"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DNN for the PDU Session which contains the QoS flow.</w:t>
            </w:r>
          </w:p>
        </w:tc>
      </w:tr>
      <w:tr w:rsidR="005D63D6" w:rsidRPr="005D63D6" w14:paraId="0A2C4C3F" w14:textId="77777777" w:rsidTr="00BB43A7">
        <w:tc>
          <w:tcPr>
            <w:tcW w:w="2547" w:type="dxa"/>
          </w:tcPr>
          <w:p w14:paraId="297E581F" w14:textId="77777777" w:rsidR="005D63D6" w:rsidRPr="005D63D6" w:rsidRDefault="005D63D6" w:rsidP="005D63D6">
            <w:pPr>
              <w:keepNext/>
              <w:keepLines/>
              <w:overflowPunct w:val="0"/>
              <w:autoSpaceDE w:val="0"/>
              <w:autoSpaceDN w:val="0"/>
              <w:adjustRightInd w:val="0"/>
              <w:spacing w:after="0"/>
              <w:textAlignment w:val="baseline"/>
              <w:rPr>
                <w:rFonts w:ascii="Arial" w:eastAsia="宋体" w:hAnsi="Arial"/>
                <w:sz w:val="18"/>
                <w:lang w:eastAsia="en-GB"/>
              </w:rPr>
            </w:pPr>
            <w:r w:rsidRPr="005D63D6">
              <w:rPr>
                <w:rFonts w:ascii="Arial" w:eastAsia="等线" w:hAnsi="Arial"/>
                <w:sz w:val="18"/>
                <w:lang w:eastAsia="en-GB"/>
              </w:rPr>
              <w:t>&gt;&gt; S-NSSAI</w:t>
            </w:r>
          </w:p>
        </w:tc>
        <w:tc>
          <w:tcPr>
            <w:tcW w:w="7084" w:type="dxa"/>
          </w:tcPr>
          <w:p w14:paraId="6F0767F6"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Identifies the Network Slice used to access the application.</w:t>
            </w:r>
          </w:p>
        </w:tc>
      </w:tr>
      <w:tr w:rsidR="005D63D6" w:rsidRPr="005D63D6" w14:paraId="6BAE1063" w14:textId="77777777" w:rsidTr="00BB43A7">
        <w:tc>
          <w:tcPr>
            <w:tcW w:w="2547" w:type="dxa"/>
          </w:tcPr>
          <w:p w14:paraId="6075B45F"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RAT Type</w:t>
            </w:r>
          </w:p>
        </w:tc>
        <w:tc>
          <w:tcPr>
            <w:tcW w:w="7084" w:type="dxa"/>
          </w:tcPr>
          <w:p w14:paraId="1E959627"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Indicate the list of RAT types for which the E2E data volume transfer time applies.</w:t>
            </w:r>
          </w:p>
        </w:tc>
      </w:tr>
      <w:tr w:rsidR="005D63D6" w:rsidRPr="005D63D6" w14:paraId="3FEF8612" w14:textId="77777777" w:rsidTr="00BB43A7">
        <w:tc>
          <w:tcPr>
            <w:tcW w:w="2547" w:type="dxa"/>
          </w:tcPr>
          <w:p w14:paraId="0FB784FA" w14:textId="77777777" w:rsidR="005D63D6" w:rsidRPr="005D63D6" w:rsidRDefault="005D63D6" w:rsidP="005D63D6">
            <w:pPr>
              <w:keepNext/>
              <w:keepLines/>
              <w:overflowPunct w:val="0"/>
              <w:autoSpaceDE w:val="0"/>
              <w:autoSpaceDN w:val="0"/>
              <w:adjustRightInd w:val="0"/>
              <w:spacing w:after="0"/>
              <w:textAlignment w:val="baseline"/>
              <w:rPr>
                <w:rFonts w:ascii="Arial" w:eastAsia="宋体" w:hAnsi="Arial"/>
                <w:sz w:val="18"/>
                <w:lang w:eastAsia="en-GB"/>
              </w:rPr>
            </w:pPr>
            <w:r w:rsidRPr="005D63D6">
              <w:rPr>
                <w:rFonts w:ascii="Arial" w:eastAsia="宋体" w:hAnsi="Arial"/>
                <w:sz w:val="18"/>
                <w:lang w:eastAsia="en-GB"/>
              </w:rPr>
              <w:t>&gt;&gt; Access Type</w:t>
            </w:r>
          </w:p>
        </w:tc>
        <w:tc>
          <w:tcPr>
            <w:tcW w:w="7084" w:type="dxa"/>
          </w:tcPr>
          <w:p w14:paraId="0E752A96"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Access Type when the UE establishes a PDU Session for the AF.</w:t>
            </w:r>
          </w:p>
        </w:tc>
      </w:tr>
      <w:tr w:rsidR="005D63D6" w:rsidRPr="005D63D6" w14:paraId="5BAC9742" w14:textId="77777777" w:rsidTr="00BB43A7">
        <w:tc>
          <w:tcPr>
            <w:tcW w:w="2547" w:type="dxa"/>
          </w:tcPr>
          <w:p w14:paraId="62F7489D"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Validity period</w:t>
            </w:r>
          </w:p>
        </w:tc>
        <w:tc>
          <w:tcPr>
            <w:tcW w:w="7084" w:type="dxa"/>
          </w:tcPr>
          <w:p w14:paraId="43A99457"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The validity period within the time slot for the E2E data volume transfer time statistics as defined in clause 6.1.3.</w:t>
            </w:r>
          </w:p>
        </w:tc>
      </w:tr>
      <w:tr w:rsidR="005D63D6" w:rsidRPr="005D63D6" w14:paraId="15EFE508" w14:textId="77777777" w:rsidTr="00BB43A7">
        <w:tc>
          <w:tcPr>
            <w:tcW w:w="2547" w:type="dxa"/>
          </w:tcPr>
          <w:p w14:paraId="0733AE06"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Spatial validity</w:t>
            </w:r>
          </w:p>
        </w:tc>
        <w:tc>
          <w:tcPr>
            <w:tcW w:w="7084" w:type="dxa"/>
          </w:tcPr>
          <w:p w14:paraId="64A7D6FF"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Area where the E2E data volume transfer time statistics applies.</w:t>
            </w:r>
          </w:p>
        </w:tc>
      </w:tr>
      <w:tr w:rsidR="005D63D6" w:rsidRPr="005D63D6" w14:paraId="4C8C305E" w14:textId="77777777" w:rsidTr="00BB43A7">
        <w:tc>
          <w:tcPr>
            <w:tcW w:w="2547" w:type="dxa"/>
          </w:tcPr>
          <w:p w14:paraId="2F322911"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E2E data volume transfer time</w:t>
            </w:r>
            <w:r w:rsidRPr="005D63D6" w:rsidDel="00712EB5">
              <w:rPr>
                <w:rFonts w:ascii="Arial" w:eastAsia="等线" w:hAnsi="Arial"/>
                <w:sz w:val="18"/>
                <w:lang w:eastAsia="en-GB"/>
              </w:rPr>
              <w:t xml:space="preserve"> </w:t>
            </w:r>
            <w:r w:rsidRPr="005D63D6">
              <w:rPr>
                <w:rFonts w:ascii="Arial" w:eastAsia="等线" w:hAnsi="Arial"/>
                <w:sz w:val="18"/>
                <w:lang w:eastAsia="en-GB"/>
              </w:rPr>
              <w:t>UL</w:t>
            </w:r>
          </w:p>
        </w:tc>
        <w:tc>
          <w:tcPr>
            <w:tcW w:w="7084" w:type="dxa"/>
          </w:tcPr>
          <w:p w14:paraId="325E3DC1"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E2E data volume transfer time UL</w:t>
            </w:r>
            <w:r w:rsidRPr="005D63D6" w:rsidDel="00413C7C">
              <w:rPr>
                <w:rFonts w:ascii="Arial" w:eastAsia="等线" w:hAnsi="Arial"/>
                <w:sz w:val="18"/>
                <w:lang w:eastAsia="en-GB"/>
              </w:rPr>
              <w:t xml:space="preserve"> </w:t>
            </w:r>
            <w:r w:rsidRPr="005D63D6">
              <w:rPr>
                <w:rFonts w:ascii="Arial" w:eastAsia="等线" w:hAnsi="Arial"/>
                <w:sz w:val="18"/>
                <w:lang w:eastAsia="en-GB"/>
              </w:rPr>
              <w:t>indicators.</w:t>
            </w:r>
          </w:p>
          <w:p w14:paraId="6473E104"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Statistics of E2E data volume transfer time for uplink over the time slot (e.g. average, variance).</w:t>
            </w:r>
          </w:p>
        </w:tc>
      </w:tr>
      <w:tr w:rsidR="005D63D6" w:rsidRPr="005D63D6" w14:paraId="2FC21545" w14:textId="77777777" w:rsidTr="00BB43A7">
        <w:tc>
          <w:tcPr>
            <w:tcW w:w="2547" w:type="dxa"/>
          </w:tcPr>
          <w:p w14:paraId="39285ECA"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&gt;&gt;&gt; Data volume UL</w:t>
            </w:r>
          </w:p>
        </w:tc>
        <w:tc>
          <w:tcPr>
            <w:tcW w:w="7084" w:type="dxa"/>
          </w:tcPr>
          <w:p w14:paraId="5CC940A6"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Indicates uplink data volume used to derive E2E data volume transfer time UL.</w:t>
            </w:r>
          </w:p>
        </w:tc>
      </w:tr>
      <w:tr w:rsidR="005D63D6" w:rsidRPr="005D63D6" w14:paraId="57E6F57B" w14:textId="77777777" w:rsidTr="00BB43A7">
        <w:tc>
          <w:tcPr>
            <w:tcW w:w="2547" w:type="dxa"/>
          </w:tcPr>
          <w:p w14:paraId="43B6C04C"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E2E data volume transfer time</w:t>
            </w:r>
            <w:r w:rsidRPr="005D63D6" w:rsidDel="00712EB5">
              <w:rPr>
                <w:rFonts w:ascii="Arial" w:eastAsia="等线" w:hAnsi="Arial"/>
                <w:sz w:val="18"/>
                <w:lang w:eastAsia="en-GB"/>
              </w:rPr>
              <w:t xml:space="preserve"> </w:t>
            </w:r>
            <w:r w:rsidRPr="005D63D6">
              <w:rPr>
                <w:rFonts w:ascii="Arial" w:eastAsia="等线" w:hAnsi="Arial"/>
                <w:sz w:val="18"/>
                <w:lang w:eastAsia="en-GB"/>
              </w:rPr>
              <w:t>DL</w:t>
            </w:r>
          </w:p>
        </w:tc>
        <w:tc>
          <w:tcPr>
            <w:tcW w:w="7084" w:type="dxa"/>
          </w:tcPr>
          <w:p w14:paraId="54FC0158"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E2E data volume transfer time</w:t>
            </w:r>
            <w:r w:rsidRPr="005D63D6" w:rsidDel="00413C7C">
              <w:rPr>
                <w:rFonts w:ascii="Arial" w:eastAsia="等线" w:hAnsi="Arial"/>
                <w:sz w:val="18"/>
                <w:lang w:eastAsia="en-GB"/>
              </w:rPr>
              <w:t xml:space="preserve"> </w:t>
            </w:r>
            <w:r w:rsidRPr="005D63D6">
              <w:rPr>
                <w:rFonts w:ascii="Arial" w:eastAsia="等线" w:hAnsi="Arial"/>
                <w:sz w:val="18"/>
                <w:lang w:eastAsia="en-GB"/>
              </w:rPr>
              <w:t>DL indicators.</w:t>
            </w:r>
          </w:p>
          <w:p w14:paraId="62CC6FB9"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Statistics of E2E data volume transfer time for downlink over the time slot (e.g. average, variance).</w:t>
            </w:r>
          </w:p>
        </w:tc>
      </w:tr>
      <w:tr w:rsidR="005D63D6" w:rsidRPr="005D63D6" w14:paraId="44B5A39B" w14:textId="77777777" w:rsidTr="00BB43A7">
        <w:tc>
          <w:tcPr>
            <w:tcW w:w="2547" w:type="dxa"/>
          </w:tcPr>
          <w:p w14:paraId="52645164"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&gt;&gt;&gt; Data volume DL</w:t>
            </w:r>
          </w:p>
        </w:tc>
        <w:tc>
          <w:tcPr>
            <w:tcW w:w="7084" w:type="dxa"/>
          </w:tcPr>
          <w:p w14:paraId="6D933DC5"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Indicates downlink data volume used to derive E2E data volume transfer time DL.</w:t>
            </w:r>
          </w:p>
        </w:tc>
      </w:tr>
      <w:tr w:rsidR="005D63D6" w:rsidRPr="005D63D6" w14:paraId="30148708" w14:textId="77777777" w:rsidTr="00BB43A7">
        <w:tc>
          <w:tcPr>
            <w:tcW w:w="2547" w:type="dxa"/>
          </w:tcPr>
          <w:p w14:paraId="075240A9"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 Classified E2E data volume transfer time information</w:t>
            </w:r>
            <w:r w:rsidRPr="005D63D6" w:rsidDel="00712EB5">
              <w:rPr>
                <w:rFonts w:ascii="Arial" w:eastAsia="等线" w:hAnsi="Arial"/>
                <w:sz w:val="18"/>
                <w:lang w:eastAsia="en-GB"/>
              </w:rPr>
              <w:t xml:space="preserve"> </w:t>
            </w:r>
            <w:r w:rsidRPr="005D63D6">
              <w:rPr>
                <w:rFonts w:ascii="Arial" w:eastAsia="等线" w:hAnsi="Arial"/>
                <w:sz w:val="18"/>
                <w:lang w:eastAsia="en-GB"/>
              </w:rPr>
              <w:t>for a list of UEs (NOTE 1)</w:t>
            </w:r>
          </w:p>
        </w:tc>
        <w:tc>
          <w:tcPr>
            <w:tcW w:w="7084" w:type="dxa"/>
          </w:tcPr>
          <w:p w14:paraId="79875494"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Classified E2E data volume transfer time</w:t>
            </w:r>
            <w:r w:rsidRPr="005D63D6" w:rsidDel="00712EB5">
              <w:rPr>
                <w:rFonts w:ascii="Arial" w:eastAsia="等线" w:hAnsi="Arial"/>
                <w:sz w:val="18"/>
                <w:lang w:eastAsia="en-GB"/>
              </w:rPr>
              <w:t xml:space="preserve"> </w:t>
            </w:r>
            <w:r w:rsidRPr="005D63D6">
              <w:rPr>
                <w:rFonts w:ascii="Arial" w:eastAsia="等线" w:hAnsi="Arial"/>
                <w:sz w:val="18"/>
                <w:lang w:eastAsia="en-GB"/>
              </w:rPr>
              <w:t>statistics for multiple UEs with respect to one or more reporting thresholds (e.g. NWDAF may provide the ratio of UEs that have reached certain Reporting Threshold(s)).</w:t>
            </w:r>
          </w:p>
          <w:p w14:paraId="57C4B304"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The list of UEs is indicated in the request of service consumer.</w:t>
            </w:r>
          </w:p>
        </w:tc>
      </w:tr>
      <w:tr w:rsidR="005D63D6" w:rsidRPr="005D63D6" w14:paraId="469C7989" w14:textId="77777777" w:rsidTr="00BB43A7">
        <w:tc>
          <w:tcPr>
            <w:tcW w:w="2547" w:type="dxa"/>
          </w:tcPr>
          <w:p w14:paraId="1E8D0AEF"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E2E data volume transfer time classes (1…max) (NOTE 2)</w:t>
            </w:r>
          </w:p>
        </w:tc>
        <w:tc>
          <w:tcPr>
            <w:tcW w:w="7084" w:type="dxa"/>
          </w:tcPr>
          <w:p w14:paraId="23E9422D"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List with group of UEs classified by ranges of E2E data volume transfer time.</w:t>
            </w:r>
          </w:p>
        </w:tc>
      </w:tr>
      <w:tr w:rsidR="005D63D6" w:rsidRPr="005D63D6" w14:paraId="09EE83D5" w14:textId="77777777" w:rsidTr="00BB43A7">
        <w:tc>
          <w:tcPr>
            <w:tcW w:w="2547" w:type="dxa"/>
          </w:tcPr>
          <w:p w14:paraId="7BEF57A7"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&gt;&gt;&gt; UE ID(s)</w:t>
            </w:r>
          </w:p>
        </w:tc>
        <w:tc>
          <w:tcPr>
            <w:tcW w:w="7084" w:type="dxa"/>
          </w:tcPr>
          <w:p w14:paraId="2802AE89"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Identifies the UE(s) in the transfer time class with respect to the threshold of the corresponding transfer time class.</w:t>
            </w:r>
          </w:p>
        </w:tc>
      </w:tr>
      <w:tr w:rsidR="005D63D6" w:rsidRPr="005D63D6" w14:paraId="4D295C1E" w14:textId="77777777" w:rsidTr="00BB43A7">
        <w:tc>
          <w:tcPr>
            <w:tcW w:w="2547" w:type="dxa"/>
          </w:tcPr>
          <w:p w14:paraId="1E442F7D"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&gt;&gt;&gt; Ratio of UEs per E2E data volume transfer time class</w:t>
            </w:r>
          </w:p>
        </w:tc>
        <w:tc>
          <w:tcPr>
            <w:tcW w:w="7084" w:type="dxa"/>
          </w:tcPr>
          <w:p w14:paraId="38DE8F39"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Ratio of UEs.</w:t>
            </w:r>
          </w:p>
        </w:tc>
      </w:tr>
      <w:tr w:rsidR="005D63D6" w:rsidRPr="005D63D6" w14:paraId="25F46DB5" w14:textId="77777777" w:rsidTr="00BB43A7">
        <w:tc>
          <w:tcPr>
            <w:tcW w:w="2547" w:type="dxa"/>
          </w:tcPr>
          <w:p w14:paraId="46BFBFA4"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Validity period</w:t>
            </w:r>
          </w:p>
        </w:tc>
        <w:tc>
          <w:tcPr>
            <w:tcW w:w="7084" w:type="dxa"/>
          </w:tcPr>
          <w:p w14:paraId="4527E120"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The validity period within the time slot for the Classified E2E data volume transfer times for a list of UEs statistics as defined in clause 6.1.3.</w:t>
            </w:r>
          </w:p>
        </w:tc>
      </w:tr>
      <w:tr w:rsidR="005D63D6" w:rsidRPr="005D63D6" w14:paraId="2BAC1E57" w14:textId="77777777" w:rsidTr="00BB43A7">
        <w:tc>
          <w:tcPr>
            <w:tcW w:w="2547" w:type="dxa"/>
          </w:tcPr>
          <w:p w14:paraId="2D216D81"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Spatial Validity</w:t>
            </w:r>
          </w:p>
        </w:tc>
        <w:tc>
          <w:tcPr>
            <w:tcW w:w="7084" w:type="dxa"/>
          </w:tcPr>
          <w:p w14:paraId="7672C2E7"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Area where the Classified E2E data volume transfer times statistics for a list of UEs analytics applies.</w:t>
            </w:r>
          </w:p>
        </w:tc>
      </w:tr>
      <w:tr w:rsidR="005D63D6" w:rsidRPr="005D63D6" w14:paraId="6739C0D1" w14:textId="77777777" w:rsidTr="00BB43A7">
        <w:tc>
          <w:tcPr>
            <w:tcW w:w="2547" w:type="dxa"/>
          </w:tcPr>
          <w:p w14:paraId="0514C45A"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 Geographical distribution of the UE(s)</w:t>
            </w:r>
          </w:p>
        </w:tc>
        <w:tc>
          <w:tcPr>
            <w:tcW w:w="7084" w:type="dxa"/>
          </w:tcPr>
          <w:p w14:paraId="08BD74E2"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If requested, a list of UEs per location information.</w:t>
            </w:r>
          </w:p>
        </w:tc>
      </w:tr>
      <w:tr w:rsidR="005D63D6" w:rsidRPr="005D63D6" w14:paraId="77DC65E7" w14:textId="77777777" w:rsidTr="00BB43A7">
        <w:tc>
          <w:tcPr>
            <w:tcW w:w="9631" w:type="dxa"/>
            <w:gridSpan w:val="2"/>
          </w:tcPr>
          <w:p w14:paraId="2DA6ED0A" w14:textId="77777777" w:rsidR="005D63D6" w:rsidRPr="005D63D6" w:rsidRDefault="005D63D6" w:rsidP="005D63D6">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5D63D6">
              <w:rPr>
                <w:rFonts w:ascii="Arial" w:eastAsia="等线" w:hAnsi="Arial"/>
                <w:sz w:val="18"/>
                <w:lang w:eastAsia="en-GB"/>
              </w:rPr>
              <w:t>NOTE 1:</w:t>
            </w:r>
            <w:r w:rsidRPr="005D63D6">
              <w:rPr>
                <w:rFonts w:ascii="Arial" w:eastAsia="等线" w:hAnsi="Arial"/>
                <w:sz w:val="18"/>
                <w:lang w:eastAsia="en-GB"/>
              </w:rPr>
              <w:tab/>
              <w:t>Analytics subset that can be used in "list of analytics subsets that are requested", "Preferred level of accuracy per analytics subset" and "Reporting Thresholds".</w:t>
            </w:r>
          </w:p>
          <w:p w14:paraId="77E06DAC" w14:textId="77777777" w:rsidR="005D63D6" w:rsidRPr="005D63D6" w:rsidRDefault="005D63D6" w:rsidP="005D63D6">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5D63D6">
              <w:rPr>
                <w:rFonts w:ascii="Arial" w:eastAsia="等线" w:hAnsi="Arial"/>
                <w:sz w:val="18"/>
                <w:lang w:eastAsia="en-GB"/>
              </w:rPr>
              <w:t>NOTE 2:</w:t>
            </w:r>
            <w:r w:rsidRPr="005D63D6">
              <w:rPr>
                <w:rFonts w:ascii="Arial" w:eastAsia="等线" w:hAnsi="Arial"/>
                <w:sz w:val="18"/>
                <w:lang w:eastAsia="en-GB"/>
              </w:rPr>
              <w:tab/>
              <w:t>The number of transfer time classes may be pre-configured by the operator or provided by the service consumer via reporting thresholds.</w:t>
            </w:r>
          </w:p>
        </w:tc>
      </w:tr>
    </w:tbl>
    <w:p w14:paraId="5D3E4A06" w14:textId="77777777" w:rsidR="005D63D6" w:rsidRPr="005D63D6" w:rsidRDefault="005D63D6" w:rsidP="005D63D6">
      <w:pPr>
        <w:overflowPunct w:val="0"/>
        <w:autoSpaceDE w:val="0"/>
        <w:autoSpaceDN w:val="0"/>
        <w:adjustRightInd w:val="0"/>
        <w:textAlignment w:val="baseline"/>
        <w:rPr>
          <w:rFonts w:eastAsia="等线"/>
          <w:lang w:eastAsia="en-GB"/>
        </w:rPr>
      </w:pPr>
    </w:p>
    <w:p w14:paraId="39AAB2CE" w14:textId="77777777" w:rsidR="005D63D6" w:rsidRPr="005D63D6" w:rsidRDefault="005D63D6" w:rsidP="005D63D6">
      <w:pPr>
        <w:keepNext/>
        <w:keepLines/>
        <w:overflowPunct w:val="0"/>
        <w:autoSpaceDE w:val="0"/>
        <w:autoSpaceDN w:val="0"/>
        <w:adjustRightInd w:val="0"/>
        <w:spacing w:before="60"/>
        <w:jc w:val="center"/>
        <w:textAlignment w:val="baseline"/>
        <w:rPr>
          <w:rFonts w:ascii="Arial" w:eastAsia="等线" w:hAnsi="Arial"/>
          <w:b/>
          <w:lang w:eastAsia="en-GB"/>
        </w:rPr>
      </w:pPr>
      <w:r w:rsidRPr="005D63D6">
        <w:rPr>
          <w:rFonts w:ascii="Arial" w:eastAsia="等线" w:hAnsi="Arial"/>
          <w:b/>
          <w:lang w:eastAsia="en-GB"/>
        </w:rPr>
        <w:lastRenderedPageBreak/>
        <w:t>Table 6.18.3-2: E2E data volume transfer time predictions</w:t>
      </w:r>
    </w:p>
    <w:tbl>
      <w:tblPr>
        <w:tblStyle w:val="af3"/>
        <w:tblW w:w="0" w:type="auto"/>
        <w:tblLook w:val="04A0" w:firstRow="1" w:lastRow="0" w:firstColumn="1" w:lastColumn="0" w:noHBand="0" w:noVBand="1"/>
      </w:tblPr>
      <w:tblGrid>
        <w:gridCol w:w="2547"/>
        <w:gridCol w:w="7082"/>
      </w:tblGrid>
      <w:tr w:rsidR="005D63D6" w:rsidRPr="005D63D6" w14:paraId="6DFB7B1D" w14:textId="77777777" w:rsidTr="00BB43A7">
        <w:tc>
          <w:tcPr>
            <w:tcW w:w="2547" w:type="dxa"/>
          </w:tcPr>
          <w:p w14:paraId="649A4E84" w14:textId="77777777" w:rsidR="005D63D6" w:rsidRPr="005D63D6" w:rsidRDefault="005D63D6" w:rsidP="005D63D6">
            <w:pPr>
              <w:keepNext/>
              <w:keepLines/>
              <w:overflowPunct w:val="0"/>
              <w:autoSpaceDE w:val="0"/>
              <w:autoSpaceDN w:val="0"/>
              <w:adjustRightInd w:val="0"/>
              <w:spacing w:after="0"/>
              <w:jc w:val="center"/>
              <w:textAlignment w:val="baseline"/>
              <w:rPr>
                <w:rFonts w:ascii="Arial" w:eastAsia="等线" w:hAnsi="Arial"/>
                <w:b/>
                <w:sz w:val="18"/>
                <w:lang w:eastAsia="en-GB"/>
              </w:rPr>
            </w:pPr>
            <w:r w:rsidRPr="005D63D6">
              <w:rPr>
                <w:rFonts w:ascii="Arial" w:eastAsia="等线" w:hAnsi="Arial"/>
                <w:b/>
                <w:sz w:val="18"/>
                <w:lang w:eastAsia="en-GB"/>
              </w:rPr>
              <w:t>Information</w:t>
            </w:r>
          </w:p>
        </w:tc>
        <w:tc>
          <w:tcPr>
            <w:tcW w:w="7084" w:type="dxa"/>
          </w:tcPr>
          <w:p w14:paraId="0EC31B50" w14:textId="77777777" w:rsidR="005D63D6" w:rsidRPr="005D63D6" w:rsidRDefault="005D63D6" w:rsidP="005D63D6">
            <w:pPr>
              <w:keepNext/>
              <w:keepLines/>
              <w:overflowPunct w:val="0"/>
              <w:autoSpaceDE w:val="0"/>
              <w:autoSpaceDN w:val="0"/>
              <w:adjustRightInd w:val="0"/>
              <w:spacing w:after="0"/>
              <w:jc w:val="center"/>
              <w:textAlignment w:val="baseline"/>
              <w:rPr>
                <w:rFonts w:ascii="Arial" w:eastAsia="等线" w:hAnsi="Arial"/>
                <w:b/>
                <w:sz w:val="18"/>
                <w:lang w:eastAsia="en-GB"/>
              </w:rPr>
            </w:pPr>
            <w:r w:rsidRPr="005D63D6">
              <w:rPr>
                <w:rFonts w:ascii="Arial" w:eastAsia="等线" w:hAnsi="Arial"/>
                <w:b/>
                <w:sz w:val="18"/>
                <w:lang w:eastAsia="en-GB"/>
              </w:rPr>
              <w:t>Description</w:t>
            </w:r>
          </w:p>
        </w:tc>
      </w:tr>
      <w:tr w:rsidR="005D63D6" w:rsidRPr="005D63D6" w14:paraId="4BE4ED34" w14:textId="77777777" w:rsidTr="00BB43A7">
        <w:tc>
          <w:tcPr>
            <w:tcW w:w="2547" w:type="dxa"/>
          </w:tcPr>
          <w:p w14:paraId="63AF0A6F"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UE ID or list of UE IDs (</w:t>
            </w:r>
            <w:proofErr w:type="gramStart"/>
            <w:r w:rsidRPr="005D63D6">
              <w:rPr>
                <w:rFonts w:ascii="Arial" w:eastAsia="等线" w:hAnsi="Arial"/>
                <w:sz w:val="18"/>
                <w:lang w:eastAsia="en-GB"/>
              </w:rPr>
              <w:t>1..</w:t>
            </w:r>
            <w:proofErr w:type="gramEnd"/>
            <w:r w:rsidRPr="005D63D6">
              <w:rPr>
                <w:rFonts w:ascii="Arial" w:eastAsia="等线" w:hAnsi="Arial"/>
                <w:sz w:val="18"/>
                <w:lang w:eastAsia="en-GB"/>
              </w:rPr>
              <w:t>SUPImax)</w:t>
            </w:r>
          </w:p>
        </w:tc>
        <w:tc>
          <w:tcPr>
            <w:tcW w:w="7084" w:type="dxa"/>
          </w:tcPr>
          <w:p w14:paraId="4D302AC0"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 xml:space="preserve">Identifies the UE(s) for which the predictions </w:t>
            </w:r>
            <w:proofErr w:type="gramStart"/>
            <w:r w:rsidRPr="005D63D6">
              <w:rPr>
                <w:rFonts w:ascii="Arial" w:eastAsia="等线" w:hAnsi="Arial"/>
                <w:sz w:val="18"/>
                <w:lang w:eastAsia="en-GB"/>
              </w:rPr>
              <w:t>applies</w:t>
            </w:r>
            <w:proofErr w:type="gramEnd"/>
            <w:r w:rsidRPr="005D63D6">
              <w:rPr>
                <w:rFonts w:ascii="Arial" w:eastAsia="等线" w:hAnsi="Arial"/>
                <w:sz w:val="18"/>
                <w:lang w:eastAsia="en-GB"/>
              </w:rPr>
              <w:t xml:space="preserve"> by a list of SUPIs.</w:t>
            </w:r>
          </w:p>
        </w:tc>
      </w:tr>
      <w:tr w:rsidR="005D63D6" w:rsidRPr="005D63D6" w14:paraId="248D2AFB" w14:textId="77777777" w:rsidTr="00BB43A7">
        <w:tc>
          <w:tcPr>
            <w:tcW w:w="2547" w:type="dxa"/>
          </w:tcPr>
          <w:p w14:paraId="286CBB7C"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Time slot entry (</w:t>
            </w:r>
            <w:proofErr w:type="gramStart"/>
            <w:r w:rsidRPr="005D63D6">
              <w:rPr>
                <w:rFonts w:ascii="Arial" w:eastAsia="等线" w:hAnsi="Arial"/>
                <w:sz w:val="18"/>
                <w:lang w:eastAsia="en-GB"/>
              </w:rPr>
              <w:t>1..</w:t>
            </w:r>
            <w:proofErr w:type="gramEnd"/>
            <w:r w:rsidRPr="005D63D6">
              <w:rPr>
                <w:rFonts w:ascii="Arial" w:eastAsia="等线" w:hAnsi="Arial"/>
                <w:sz w:val="18"/>
                <w:lang w:eastAsia="en-GB"/>
              </w:rPr>
              <w:t>max)</w:t>
            </w:r>
          </w:p>
        </w:tc>
        <w:tc>
          <w:tcPr>
            <w:tcW w:w="7084" w:type="dxa"/>
          </w:tcPr>
          <w:p w14:paraId="6E61447C"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List of time slots during the Analytics target period.</w:t>
            </w:r>
          </w:p>
        </w:tc>
      </w:tr>
      <w:tr w:rsidR="005D63D6" w:rsidRPr="005D63D6" w14:paraId="07C181D4" w14:textId="77777777" w:rsidTr="00BB43A7">
        <w:tc>
          <w:tcPr>
            <w:tcW w:w="2547" w:type="dxa"/>
          </w:tcPr>
          <w:p w14:paraId="56B6A23E"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 Time slot start</w:t>
            </w:r>
          </w:p>
        </w:tc>
        <w:tc>
          <w:tcPr>
            <w:tcW w:w="7084" w:type="dxa"/>
          </w:tcPr>
          <w:p w14:paraId="377B142B"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Time slot start within the Analytics target period.</w:t>
            </w:r>
          </w:p>
        </w:tc>
      </w:tr>
      <w:tr w:rsidR="005D63D6" w:rsidRPr="005D63D6" w14:paraId="230A3401" w14:textId="77777777" w:rsidTr="00BB43A7">
        <w:tc>
          <w:tcPr>
            <w:tcW w:w="2547" w:type="dxa"/>
          </w:tcPr>
          <w:p w14:paraId="259E4B14"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 Duration</w:t>
            </w:r>
          </w:p>
        </w:tc>
        <w:tc>
          <w:tcPr>
            <w:tcW w:w="7084" w:type="dxa"/>
          </w:tcPr>
          <w:p w14:paraId="44B3066C"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Duration of the time slot.</w:t>
            </w:r>
          </w:p>
        </w:tc>
      </w:tr>
      <w:tr w:rsidR="005D63D6" w:rsidRPr="005D63D6" w14:paraId="7BF16C14" w14:textId="77777777" w:rsidTr="00BB43A7">
        <w:tc>
          <w:tcPr>
            <w:tcW w:w="2547" w:type="dxa"/>
          </w:tcPr>
          <w:p w14:paraId="5979CAE0"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 E2E data volume transfer time information (1…max)</w:t>
            </w:r>
          </w:p>
        </w:tc>
        <w:tc>
          <w:tcPr>
            <w:tcW w:w="7084" w:type="dxa"/>
          </w:tcPr>
          <w:p w14:paraId="3068DC47"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List of E2E data volume transfer time predictions</w:t>
            </w:r>
            <w:r w:rsidRPr="005D63D6" w:rsidDel="00D93EC8">
              <w:rPr>
                <w:rFonts w:ascii="Arial" w:eastAsia="等线" w:hAnsi="Arial"/>
                <w:sz w:val="18"/>
                <w:lang w:eastAsia="en-GB"/>
              </w:rPr>
              <w:t xml:space="preserve"> </w:t>
            </w:r>
            <w:r w:rsidRPr="005D63D6">
              <w:rPr>
                <w:rFonts w:ascii="Arial" w:eastAsia="等线" w:hAnsi="Arial"/>
                <w:sz w:val="18"/>
                <w:lang w:eastAsia="en-GB"/>
              </w:rPr>
              <w:t>per UE.</w:t>
            </w:r>
          </w:p>
          <w:p w14:paraId="41D74EA8"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Max. is the number of UEs, if applicable.</w:t>
            </w:r>
          </w:p>
        </w:tc>
      </w:tr>
      <w:tr w:rsidR="005D63D6" w:rsidRPr="005D63D6" w14:paraId="6FC5BD0F" w14:textId="77777777" w:rsidTr="00BB43A7">
        <w:tc>
          <w:tcPr>
            <w:tcW w:w="2547" w:type="dxa"/>
          </w:tcPr>
          <w:p w14:paraId="77CC2E6D"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Application ID</w:t>
            </w:r>
          </w:p>
        </w:tc>
        <w:tc>
          <w:tcPr>
            <w:tcW w:w="7084" w:type="dxa"/>
          </w:tcPr>
          <w:p w14:paraId="6F1E12D7"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Identifies</w:t>
            </w:r>
            <w:r w:rsidRPr="005D63D6">
              <w:rPr>
                <w:rFonts w:ascii="Arial" w:eastAsia="宋体" w:hAnsi="Arial"/>
                <w:sz w:val="18"/>
                <w:lang w:eastAsia="en-GB"/>
              </w:rPr>
              <w:t xml:space="preserve"> the application in use during the time slot</w:t>
            </w:r>
            <w:r w:rsidRPr="005D63D6">
              <w:rPr>
                <w:rFonts w:ascii="Arial" w:eastAsia="等线" w:hAnsi="Arial"/>
                <w:sz w:val="18"/>
                <w:lang w:eastAsia="en-GB"/>
              </w:rPr>
              <w:t>.</w:t>
            </w:r>
          </w:p>
        </w:tc>
      </w:tr>
      <w:tr w:rsidR="005D63D6" w:rsidRPr="005D63D6" w14:paraId="67601AB5" w14:textId="77777777" w:rsidTr="00BB43A7">
        <w:tc>
          <w:tcPr>
            <w:tcW w:w="2547" w:type="dxa"/>
          </w:tcPr>
          <w:p w14:paraId="0FF2EB81"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UE location</w:t>
            </w:r>
          </w:p>
        </w:tc>
        <w:tc>
          <w:tcPr>
            <w:tcW w:w="7084" w:type="dxa"/>
          </w:tcPr>
          <w:p w14:paraId="75415B7F"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Indicate the UE location information when the service is delivered.</w:t>
            </w:r>
          </w:p>
        </w:tc>
      </w:tr>
      <w:tr w:rsidR="005D63D6" w:rsidRPr="005D63D6" w14:paraId="5268C193" w14:textId="77777777" w:rsidTr="00BB43A7">
        <w:tc>
          <w:tcPr>
            <w:tcW w:w="2547" w:type="dxa"/>
          </w:tcPr>
          <w:p w14:paraId="6CED9075"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w:t>
            </w:r>
            <w:r w:rsidRPr="005D63D6">
              <w:rPr>
                <w:rFonts w:ascii="Arial" w:eastAsia="宋体" w:hAnsi="Arial"/>
                <w:sz w:val="18"/>
                <w:lang w:eastAsia="en-GB"/>
              </w:rPr>
              <w:t xml:space="preserve"> DNN</w:t>
            </w:r>
          </w:p>
        </w:tc>
        <w:tc>
          <w:tcPr>
            <w:tcW w:w="7084" w:type="dxa"/>
          </w:tcPr>
          <w:p w14:paraId="70CBB842"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DNN for the PDU Session which contains the QoS flow.</w:t>
            </w:r>
          </w:p>
        </w:tc>
      </w:tr>
      <w:tr w:rsidR="005D63D6" w:rsidRPr="005D63D6" w14:paraId="62E3D0FD" w14:textId="77777777" w:rsidTr="00BB43A7">
        <w:tc>
          <w:tcPr>
            <w:tcW w:w="2547" w:type="dxa"/>
          </w:tcPr>
          <w:p w14:paraId="17D6F926"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S-NSSAI</w:t>
            </w:r>
          </w:p>
        </w:tc>
        <w:tc>
          <w:tcPr>
            <w:tcW w:w="7084" w:type="dxa"/>
          </w:tcPr>
          <w:p w14:paraId="2D20EAFE"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Identifies the Network Slice used to access the application.</w:t>
            </w:r>
          </w:p>
        </w:tc>
      </w:tr>
      <w:tr w:rsidR="005D63D6" w:rsidRPr="005D63D6" w14:paraId="231516C4" w14:textId="77777777" w:rsidTr="00BB43A7">
        <w:tc>
          <w:tcPr>
            <w:tcW w:w="2547" w:type="dxa"/>
          </w:tcPr>
          <w:p w14:paraId="58D55506"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RAT Type</w:t>
            </w:r>
          </w:p>
        </w:tc>
        <w:tc>
          <w:tcPr>
            <w:tcW w:w="7084" w:type="dxa"/>
          </w:tcPr>
          <w:p w14:paraId="0B2B9C3A"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Indicate the list of RAT types for which the E2E data volume transfer time applies.</w:t>
            </w:r>
          </w:p>
        </w:tc>
      </w:tr>
      <w:tr w:rsidR="005D63D6" w:rsidRPr="005D63D6" w14:paraId="3FA5EF2A" w14:textId="77777777" w:rsidTr="00BB43A7">
        <w:tc>
          <w:tcPr>
            <w:tcW w:w="2547" w:type="dxa"/>
          </w:tcPr>
          <w:p w14:paraId="7B1731CB"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Access Type</w:t>
            </w:r>
          </w:p>
        </w:tc>
        <w:tc>
          <w:tcPr>
            <w:tcW w:w="7084" w:type="dxa"/>
          </w:tcPr>
          <w:p w14:paraId="43DE3BB9"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Access Type when the UE establishes a PDU Session for the AF.</w:t>
            </w:r>
          </w:p>
        </w:tc>
      </w:tr>
      <w:tr w:rsidR="005D63D6" w:rsidRPr="005D63D6" w14:paraId="46C9B2BD" w14:textId="77777777" w:rsidTr="00BB43A7">
        <w:tc>
          <w:tcPr>
            <w:tcW w:w="2547" w:type="dxa"/>
          </w:tcPr>
          <w:p w14:paraId="5BD4F89F"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Validity period</w:t>
            </w:r>
          </w:p>
        </w:tc>
        <w:tc>
          <w:tcPr>
            <w:tcW w:w="7084" w:type="dxa"/>
          </w:tcPr>
          <w:p w14:paraId="1452C7DA"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The validity period within the time slot for the E2E data volume transfer time prediction as defined in clause 6.1.3.</w:t>
            </w:r>
          </w:p>
        </w:tc>
      </w:tr>
      <w:tr w:rsidR="005D63D6" w:rsidRPr="005D63D6" w14:paraId="3C81D47F" w14:textId="77777777" w:rsidTr="00BB43A7">
        <w:tc>
          <w:tcPr>
            <w:tcW w:w="2547" w:type="dxa"/>
          </w:tcPr>
          <w:p w14:paraId="42DACD82"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Spatial validity</w:t>
            </w:r>
          </w:p>
        </w:tc>
        <w:tc>
          <w:tcPr>
            <w:tcW w:w="7084" w:type="dxa"/>
          </w:tcPr>
          <w:p w14:paraId="5F0ACDB0"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Area where the E2E data volume transfer time prediction applies.</w:t>
            </w:r>
          </w:p>
        </w:tc>
      </w:tr>
      <w:tr w:rsidR="005D63D6" w:rsidRPr="005D63D6" w14:paraId="403FE836" w14:textId="77777777" w:rsidTr="00BB43A7">
        <w:tc>
          <w:tcPr>
            <w:tcW w:w="2547" w:type="dxa"/>
          </w:tcPr>
          <w:p w14:paraId="5BC1D3C4"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E2E data volume transfer time UL</w:t>
            </w:r>
          </w:p>
        </w:tc>
        <w:tc>
          <w:tcPr>
            <w:tcW w:w="7084" w:type="dxa"/>
          </w:tcPr>
          <w:p w14:paraId="35E5F8EB"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E2E data volume transfer time indicators.</w:t>
            </w:r>
          </w:p>
          <w:p w14:paraId="528B2CBB"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Predictions of E2E data volume transfer time for uplink over the time slot (e.g. average, variance).</w:t>
            </w:r>
          </w:p>
        </w:tc>
      </w:tr>
      <w:tr w:rsidR="005D63D6" w:rsidRPr="005D63D6" w14:paraId="0ACD3834" w14:textId="77777777" w:rsidTr="00BB43A7">
        <w:tc>
          <w:tcPr>
            <w:tcW w:w="2547" w:type="dxa"/>
          </w:tcPr>
          <w:p w14:paraId="6EBC3722"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&gt;&gt;&gt; Data volume UL</w:t>
            </w:r>
          </w:p>
        </w:tc>
        <w:tc>
          <w:tcPr>
            <w:tcW w:w="7084" w:type="dxa"/>
          </w:tcPr>
          <w:p w14:paraId="459BF32F"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Indicates uplink data volume used to derive E2E data volume transfer time UL.</w:t>
            </w:r>
          </w:p>
        </w:tc>
      </w:tr>
      <w:tr w:rsidR="005D63D6" w:rsidRPr="005D63D6" w14:paraId="1FCD2720" w14:textId="77777777" w:rsidTr="00BB43A7">
        <w:tc>
          <w:tcPr>
            <w:tcW w:w="2547" w:type="dxa"/>
          </w:tcPr>
          <w:p w14:paraId="7DF1EC77"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E2E data volume transfer time</w:t>
            </w:r>
            <w:r w:rsidRPr="005D63D6" w:rsidDel="00712EB5">
              <w:rPr>
                <w:rFonts w:ascii="Arial" w:eastAsia="等线" w:hAnsi="Arial"/>
                <w:sz w:val="18"/>
                <w:lang w:eastAsia="en-GB"/>
              </w:rPr>
              <w:t xml:space="preserve"> </w:t>
            </w:r>
            <w:r w:rsidRPr="005D63D6">
              <w:rPr>
                <w:rFonts w:ascii="Arial" w:eastAsia="等线" w:hAnsi="Arial"/>
                <w:sz w:val="18"/>
                <w:lang w:eastAsia="en-GB"/>
              </w:rPr>
              <w:t>DL</w:t>
            </w:r>
          </w:p>
        </w:tc>
        <w:tc>
          <w:tcPr>
            <w:tcW w:w="7084" w:type="dxa"/>
          </w:tcPr>
          <w:p w14:paraId="45099FAB"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E2E data volume transfer time</w:t>
            </w:r>
            <w:r w:rsidRPr="005D63D6" w:rsidDel="00413C7C">
              <w:rPr>
                <w:rFonts w:ascii="Arial" w:eastAsia="等线" w:hAnsi="Arial"/>
                <w:sz w:val="18"/>
                <w:lang w:eastAsia="en-GB"/>
              </w:rPr>
              <w:t xml:space="preserve"> </w:t>
            </w:r>
            <w:r w:rsidRPr="005D63D6">
              <w:rPr>
                <w:rFonts w:ascii="Arial" w:eastAsia="等线" w:hAnsi="Arial"/>
                <w:sz w:val="18"/>
                <w:lang w:eastAsia="en-GB"/>
              </w:rPr>
              <w:t>DL indicators.</w:t>
            </w:r>
          </w:p>
          <w:p w14:paraId="1D3F4880"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Predictions of E2E data volume transfer time for downlink over the time slot (e.g. average, variance).</w:t>
            </w:r>
          </w:p>
        </w:tc>
      </w:tr>
      <w:tr w:rsidR="005D63D6" w:rsidRPr="005D63D6" w14:paraId="18FD9C5D" w14:textId="77777777" w:rsidTr="00BB43A7">
        <w:tc>
          <w:tcPr>
            <w:tcW w:w="2547" w:type="dxa"/>
          </w:tcPr>
          <w:p w14:paraId="1C62BB30"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&gt;&gt;&gt; Data volume DL</w:t>
            </w:r>
          </w:p>
        </w:tc>
        <w:tc>
          <w:tcPr>
            <w:tcW w:w="7084" w:type="dxa"/>
          </w:tcPr>
          <w:p w14:paraId="12B3DBA2"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Indicates downlink data volume used to derive E2E data volume transfer time DL.</w:t>
            </w:r>
          </w:p>
        </w:tc>
      </w:tr>
      <w:tr w:rsidR="005D63D6" w:rsidRPr="005D63D6" w14:paraId="51A7E800" w14:textId="77777777" w:rsidTr="00BB43A7">
        <w:tc>
          <w:tcPr>
            <w:tcW w:w="2547" w:type="dxa"/>
          </w:tcPr>
          <w:p w14:paraId="54644C56"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 Classified E2E data volume transfer time information for a list of UEs (NOTE 1)</w:t>
            </w:r>
          </w:p>
        </w:tc>
        <w:tc>
          <w:tcPr>
            <w:tcW w:w="7084" w:type="dxa"/>
          </w:tcPr>
          <w:p w14:paraId="26D1740F"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Classified E2E data volume transfer time prediction for multiple UEs with respect to one or more reporting thresholds (e.g. NWDAF may provide the ratio of UEs that have reached certain Reporting Threshold(s)).</w:t>
            </w:r>
          </w:p>
          <w:p w14:paraId="4C5E1DBE"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The list of UEs is indicated in the request of service consumer.</w:t>
            </w:r>
          </w:p>
        </w:tc>
      </w:tr>
      <w:tr w:rsidR="005D63D6" w:rsidRPr="005D63D6" w14:paraId="3BAAEFC4" w14:textId="77777777" w:rsidTr="00BB43A7">
        <w:tc>
          <w:tcPr>
            <w:tcW w:w="2547" w:type="dxa"/>
          </w:tcPr>
          <w:p w14:paraId="317C2A02"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E2E data volume transfer time classes (1…max) (NOTE 2)</w:t>
            </w:r>
          </w:p>
        </w:tc>
        <w:tc>
          <w:tcPr>
            <w:tcW w:w="7084" w:type="dxa"/>
          </w:tcPr>
          <w:p w14:paraId="036458AF"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List with group of UEs classified by ranges of E2E data volume transfer time.</w:t>
            </w:r>
          </w:p>
        </w:tc>
      </w:tr>
      <w:tr w:rsidR="005D63D6" w:rsidRPr="005D63D6" w14:paraId="40CDA9DA" w14:textId="77777777" w:rsidTr="00BB43A7">
        <w:tc>
          <w:tcPr>
            <w:tcW w:w="2547" w:type="dxa"/>
          </w:tcPr>
          <w:p w14:paraId="27BD02E7"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 xml:space="preserve">&gt;&gt;&gt; UE ID(s) </w:t>
            </w:r>
          </w:p>
        </w:tc>
        <w:tc>
          <w:tcPr>
            <w:tcW w:w="7084" w:type="dxa"/>
          </w:tcPr>
          <w:p w14:paraId="19252373"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Identifies the UE(s) in the transfer time class with respect to the threshold of the corresponding transfer time class.</w:t>
            </w:r>
          </w:p>
        </w:tc>
      </w:tr>
      <w:tr w:rsidR="005D63D6" w:rsidRPr="005D63D6" w14:paraId="75F64C99" w14:textId="77777777" w:rsidTr="00BB43A7">
        <w:tc>
          <w:tcPr>
            <w:tcW w:w="2547" w:type="dxa"/>
          </w:tcPr>
          <w:p w14:paraId="2CF9D714"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&gt;&gt;&gt; Ratio of UEs per E2E data volume transfer time class</w:t>
            </w:r>
          </w:p>
        </w:tc>
        <w:tc>
          <w:tcPr>
            <w:tcW w:w="7084" w:type="dxa"/>
          </w:tcPr>
          <w:p w14:paraId="07BCEDAA"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Ratio of UEs.</w:t>
            </w:r>
          </w:p>
        </w:tc>
      </w:tr>
      <w:tr w:rsidR="005D63D6" w:rsidRPr="005D63D6" w14:paraId="56A8FBE0" w14:textId="77777777" w:rsidTr="00BB43A7">
        <w:tc>
          <w:tcPr>
            <w:tcW w:w="2547" w:type="dxa"/>
          </w:tcPr>
          <w:p w14:paraId="04E5927B"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Validity period</w:t>
            </w:r>
          </w:p>
        </w:tc>
        <w:tc>
          <w:tcPr>
            <w:tcW w:w="7084" w:type="dxa"/>
          </w:tcPr>
          <w:p w14:paraId="763126C3"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The validity period within the time slot for the Classified E2E data volume transfer times for a list of UEs prediction as defined in clause 6.1.3.</w:t>
            </w:r>
          </w:p>
        </w:tc>
      </w:tr>
      <w:tr w:rsidR="005D63D6" w:rsidRPr="005D63D6" w14:paraId="582E1C62" w14:textId="77777777" w:rsidTr="00BB43A7">
        <w:tc>
          <w:tcPr>
            <w:tcW w:w="2547" w:type="dxa"/>
          </w:tcPr>
          <w:p w14:paraId="2BD3B617"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Spatial Validity</w:t>
            </w:r>
          </w:p>
        </w:tc>
        <w:tc>
          <w:tcPr>
            <w:tcW w:w="7084" w:type="dxa"/>
          </w:tcPr>
          <w:p w14:paraId="73FD518A"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Area where the Classified E2E data volume transfer times prediction for a list of UEs applies.</w:t>
            </w:r>
          </w:p>
        </w:tc>
      </w:tr>
      <w:tr w:rsidR="005D63D6" w:rsidRPr="005D63D6" w14:paraId="40C3C102" w14:textId="77777777" w:rsidTr="00BB43A7">
        <w:tc>
          <w:tcPr>
            <w:tcW w:w="2547" w:type="dxa"/>
          </w:tcPr>
          <w:p w14:paraId="7C03C22D"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 Geographical distribution of the UE(s)</w:t>
            </w:r>
          </w:p>
        </w:tc>
        <w:tc>
          <w:tcPr>
            <w:tcW w:w="7084" w:type="dxa"/>
          </w:tcPr>
          <w:p w14:paraId="373D2BBD"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If requested, a list of UEs per location information.</w:t>
            </w:r>
          </w:p>
        </w:tc>
      </w:tr>
      <w:tr w:rsidR="005D63D6" w:rsidRPr="005D63D6" w14:paraId="7DC058B6" w14:textId="77777777" w:rsidTr="00BB43A7">
        <w:tc>
          <w:tcPr>
            <w:tcW w:w="2547" w:type="dxa"/>
          </w:tcPr>
          <w:p w14:paraId="30D05147" w14:textId="6969737A"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ins w:id="18" w:author="vivo-r00" w:date="2025-08-14T17:34:00Z">
              <w:r>
                <w:rPr>
                  <w:rFonts w:ascii="Arial" w:eastAsia="等线" w:hAnsi="Arial"/>
                  <w:sz w:val="18"/>
                  <w:lang w:eastAsia="en-GB"/>
                </w:rPr>
                <w:t xml:space="preserve">&gt; </w:t>
              </w:r>
            </w:ins>
            <w:r w:rsidRPr="005D63D6">
              <w:rPr>
                <w:rFonts w:ascii="Arial" w:eastAsia="等线" w:hAnsi="Arial"/>
                <w:sz w:val="18"/>
                <w:lang w:eastAsia="en-GB"/>
              </w:rPr>
              <w:t>Confidence</w:t>
            </w:r>
          </w:p>
        </w:tc>
        <w:tc>
          <w:tcPr>
            <w:tcW w:w="7084" w:type="dxa"/>
          </w:tcPr>
          <w:p w14:paraId="42CAEBAE"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Confidence of this prediction.</w:t>
            </w:r>
          </w:p>
        </w:tc>
      </w:tr>
      <w:tr w:rsidR="005D63D6" w:rsidRPr="005D63D6" w14:paraId="7E73B1FD" w14:textId="77777777" w:rsidTr="00BB43A7">
        <w:tc>
          <w:tcPr>
            <w:tcW w:w="9631" w:type="dxa"/>
            <w:gridSpan w:val="2"/>
          </w:tcPr>
          <w:p w14:paraId="57182A8A" w14:textId="77777777" w:rsidR="005D63D6" w:rsidRPr="005D63D6" w:rsidRDefault="005D63D6" w:rsidP="005D63D6">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5D63D6">
              <w:rPr>
                <w:rFonts w:ascii="Arial" w:eastAsia="等线" w:hAnsi="Arial"/>
                <w:sz w:val="18"/>
                <w:lang w:eastAsia="en-GB"/>
              </w:rPr>
              <w:t>NOTE 1:</w:t>
            </w:r>
            <w:r w:rsidRPr="005D63D6">
              <w:rPr>
                <w:rFonts w:ascii="Arial" w:eastAsia="等线" w:hAnsi="Arial"/>
                <w:sz w:val="18"/>
                <w:lang w:eastAsia="en-GB"/>
              </w:rPr>
              <w:tab/>
              <w:t>Analytics subset that can be used in "list of analytics subsets that are requested", "Preferred level of accuracy per analytics subset" and "Reporting Thresholds".</w:t>
            </w:r>
          </w:p>
          <w:p w14:paraId="5524C3AD" w14:textId="77777777" w:rsidR="005D63D6" w:rsidRPr="005D63D6" w:rsidRDefault="005D63D6" w:rsidP="005D63D6">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5D63D6">
              <w:rPr>
                <w:rFonts w:ascii="Arial" w:eastAsia="等线" w:hAnsi="Arial"/>
                <w:sz w:val="18"/>
                <w:lang w:eastAsia="en-GB"/>
              </w:rPr>
              <w:t>NOTE 2:</w:t>
            </w:r>
            <w:r w:rsidRPr="005D63D6">
              <w:rPr>
                <w:rFonts w:ascii="Arial" w:eastAsia="等线" w:hAnsi="Arial"/>
                <w:sz w:val="18"/>
                <w:lang w:eastAsia="en-GB"/>
              </w:rPr>
              <w:tab/>
              <w:t>The number of transfer time classes may be pre-configured by the operator or provided by the service consumer via reporting thresholds.</w:t>
            </w:r>
          </w:p>
        </w:tc>
      </w:tr>
    </w:tbl>
    <w:p w14:paraId="37803790" w14:textId="77777777" w:rsidR="005D63D6" w:rsidRPr="005D63D6" w:rsidRDefault="005D63D6" w:rsidP="005D63D6">
      <w:pPr>
        <w:overflowPunct w:val="0"/>
        <w:autoSpaceDE w:val="0"/>
        <w:autoSpaceDN w:val="0"/>
        <w:adjustRightInd w:val="0"/>
        <w:textAlignment w:val="baseline"/>
        <w:rPr>
          <w:rFonts w:eastAsia="等线"/>
          <w:lang w:eastAsia="en-GB"/>
        </w:rPr>
      </w:pPr>
    </w:p>
    <w:p w14:paraId="4CE06481" w14:textId="77777777" w:rsidR="005D63D6" w:rsidRPr="005D63D6" w:rsidRDefault="005D63D6" w:rsidP="005D63D6">
      <w:pPr>
        <w:keepLines/>
        <w:overflowPunct w:val="0"/>
        <w:autoSpaceDE w:val="0"/>
        <w:autoSpaceDN w:val="0"/>
        <w:adjustRightInd w:val="0"/>
        <w:ind w:left="1135" w:hanging="851"/>
        <w:textAlignment w:val="baseline"/>
        <w:rPr>
          <w:rFonts w:eastAsia="等线"/>
          <w:lang w:eastAsia="en-GB"/>
        </w:rPr>
      </w:pPr>
      <w:r w:rsidRPr="005D63D6">
        <w:rPr>
          <w:rFonts w:eastAsia="等线"/>
          <w:lang w:eastAsia="en-GB"/>
        </w:rPr>
        <w:t>NOTE:</w:t>
      </w:r>
      <w:r w:rsidRPr="005D63D6">
        <w:rPr>
          <w:rFonts w:eastAsia="等线"/>
          <w:lang w:eastAsia="en-GB"/>
        </w:rPr>
        <w:tab/>
        <w:t>When Target of Analytics Reporting is an individual UE, one UE ID (i.e. SUPI) will be included, the NWDAF will provide the analytics transfer time result (i.e. list of (predicted) time slots) to NF service consumer(s) for the UE.</w:t>
      </w:r>
    </w:p>
    <w:p w14:paraId="7F1E0BD1" w14:textId="77777777" w:rsidR="005D63D6" w:rsidRPr="005D63D6" w:rsidRDefault="005D63D6" w:rsidP="005D63D6">
      <w:pPr>
        <w:rPr>
          <w:noProof/>
          <w:lang w:eastAsia="ko-KR"/>
        </w:rPr>
      </w:pPr>
    </w:p>
    <w:p w14:paraId="6AF83236" w14:textId="77777777" w:rsidR="005D63D6" w:rsidRPr="00F614AB" w:rsidRDefault="005D63D6" w:rsidP="005D63D6">
      <w:pPr>
        <w:pBdr>
          <w:top w:val="single" w:sz="4" w:space="1" w:color="auto"/>
          <w:left w:val="single" w:sz="4" w:space="4" w:color="auto"/>
          <w:bottom w:val="single" w:sz="4" w:space="0"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F614AB">
        <w:rPr>
          <w:rFonts w:ascii="Arial" w:eastAsia="宋体" w:hAnsi="Arial" w:cs="Arial"/>
          <w:color w:val="FF0000"/>
          <w:sz w:val="28"/>
          <w:szCs w:val="28"/>
          <w:lang w:val="en-US"/>
        </w:rPr>
        <w:t xml:space="preserve">* * * * </w:t>
      </w:r>
      <w:r w:rsidRPr="00F614AB">
        <w:rPr>
          <w:rFonts w:ascii="Arial" w:eastAsia="宋体" w:hAnsi="Arial" w:cs="Arial"/>
          <w:color w:val="FF0000"/>
          <w:sz w:val="28"/>
          <w:szCs w:val="28"/>
          <w:lang w:val="en-US" w:eastAsia="zh-CN"/>
        </w:rPr>
        <w:t xml:space="preserve">Next change </w:t>
      </w:r>
      <w:r w:rsidRPr="00F614AB">
        <w:rPr>
          <w:rFonts w:ascii="Arial" w:eastAsia="宋体" w:hAnsi="Arial" w:cs="Arial"/>
          <w:color w:val="FF0000"/>
          <w:sz w:val="28"/>
          <w:szCs w:val="28"/>
          <w:lang w:val="en-US"/>
        </w:rPr>
        <w:t>* * * *</w:t>
      </w:r>
    </w:p>
    <w:p w14:paraId="148A19F7" w14:textId="77777777" w:rsidR="00FC1539" w:rsidRPr="00FC1539" w:rsidRDefault="00FC1539" w:rsidP="00FC1539">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r w:rsidRPr="00FC1539">
        <w:rPr>
          <w:rFonts w:ascii="Arial" w:eastAsia="等线" w:hAnsi="Arial"/>
          <w:sz w:val="28"/>
          <w:lang w:eastAsia="en-GB"/>
        </w:rPr>
        <w:t>6.21.3</w:t>
      </w:r>
      <w:r w:rsidRPr="00FC1539">
        <w:rPr>
          <w:rFonts w:ascii="Arial" w:eastAsia="等线" w:hAnsi="Arial"/>
          <w:sz w:val="28"/>
          <w:lang w:eastAsia="en-GB"/>
        </w:rPr>
        <w:tab/>
        <w:t>Output analytics</w:t>
      </w:r>
    </w:p>
    <w:p w14:paraId="1112D354" w14:textId="77777777" w:rsidR="00FC1539" w:rsidRPr="00FC1539" w:rsidRDefault="00FC1539" w:rsidP="00FC1539">
      <w:pPr>
        <w:overflowPunct w:val="0"/>
        <w:autoSpaceDE w:val="0"/>
        <w:autoSpaceDN w:val="0"/>
        <w:adjustRightInd w:val="0"/>
        <w:textAlignment w:val="baseline"/>
        <w:rPr>
          <w:rFonts w:eastAsia="等线"/>
          <w:lang w:eastAsia="en-GB"/>
        </w:rPr>
      </w:pPr>
      <w:r w:rsidRPr="00FC1539">
        <w:rPr>
          <w:rFonts w:eastAsia="等线"/>
          <w:lang w:eastAsia="en-GB"/>
        </w:rPr>
        <w:t>The output for analytics of movement behaviour provided by NWDAF is defined in Table 6.21.3-1 and Table 6.21.3-2.</w:t>
      </w:r>
    </w:p>
    <w:p w14:paraId="1A41F2A4" w14:textId="77777777" w:rsidR="00FC1539" w:rsidRPr="00FC1539" w:rsidRDefault="00FC1539" w:rsidP="00FC1539">
      <w:pPr>
        <w:keepNext/>
        <w:keepLines/>
        <w:overflowPunct w:val="0"/>
        <w:autoSpaceDE w:val="0"/>
        <w:autoSpaceDN w:val="0"/>
        <w:adjustRightInd w:val="0"/>
        <w:spacing w:before="60"/>
        <w:jc w:val="center"/>
        <w:textAlignment w:val="baseline"/>
        <w:rPr>
          <w:rFonts w:ascii="Arial" w:eastAsia="等线" w:hAnsi="Arial"/>
          <w:b/>
          <w:lang w:eastAsia="en-GB"/>
        </w:rPr>
      </w:pPr>
      <w:bookmarkStart w:id="19" w:name="_CRTable6_21_31"/>
      <w:r w:rsidRPr="00FC1539">
        <w:rPr>
          <w:rFonts w:ascii="Arial" w:eastAsia="等线" w:hAnsi="Arial"/>
          <w:b/>
          <w:lang w:eastAsia="en-GB"/>
        </w:rPr>
        <w:lastRenderedPageBreak/>
        <w:t xml:space="preserve">Table </w:t>
      </w:r>
      <w:bookmarkEnd w:id="19"/>
      <w:r w:rsidRPr="00FC1539">
        <w:rPr>
          <w:rFonts w:ascii="Arial" w:eastAsia="等线" w:hAnsi="Arial"/>
          <w:b/>
          <w:lang w:eastAsia="en-GB"/>
        </w:rPr>
        <w:t>6.21.3-1: movement behaviour statistics</w:t>
      </w:r>
    </w:p>
    <w:tbl>
      <w:tblPr>
        <w:tblStyle w:val="af3"/>
        <w:tblW w:w="0" w:type="auto"/>
        <w:tblLook w:val="04A0" w:firstRow="1" w:lastRow="0" w:firstColumn="1" w:lastColumn="0" w:noHBand="0" w:noVBand="1"/>
      </w:tblPr>
      <w:tblGrid>
        <w:gridCol w:w="3680"/>
        <w:gridCol w:w="5949"/>
      </w:tblGrid>
      <w:tr w:rsidR="00FC1539" w:rsidRPr="00FC1539" w14:paraId="2FA64519" w14:textId="77777777" w:rsidTr="00BB43A7">
        <w:tc>
          <w:tcPr>
            <w:tcW w:w="3681" w:type="dxa"/>
          </w:tcPr>
          <w:p w14:paraId="6F064F19" w14:textId="77777777" w:rsidR="00FC1539" w:rsidRPr="00FC1539" w:rsidRDefault="00FC1539" w:rsidP="00FC1539">
            <w:pPr>
              <w:keepNext/>
              <w:keepLines/>
              <w:overflowPunct w:val="0"/>
              <w:autoSpaceDE w:val="0"/>
              <w:autoSpaceDN w:val="0"/>
              <w:adjustRightInd w:val="0"/>
              <w:spacing w:after="0"/>
              <w:jc w:val="center"/>
              <w:textAlignment w:val="baseline"/>
              <w:rPr>
                <w:rFonts w:ascii="Arial" w:eastAsia="等线" w:hAnsi="Arial"/>
                <w:b/>
                <w:sz w:val="18"/>
                <w:lang w:eastAsia="en-GB"/>
              </w:rPr>
            </w:pPr>
            <w:r w:rsidRPr="00FC1539">
              <w:rPr>
                <w:rFonts w:ascii="Arial" w:eastAsia="等线" w:hAnsi="Arial"/>
                <w:b/>
                <w:sz w:val="18"/>
                <w:lang w:eastAsia="en-GB"/>
              </w:rPr>
              <w:t>Information</w:t>
            </w:r>
          </w:p>
        </w:tc>
        <w:tc>
          <w:tcPr>
            <w:tcW w:w="5950" w:type="dxa"/>
          </w:tcPr>
          <w:p w14:paraId="601563E5" w14:textId="77777777" w:rsidR="00FC1539" w:rsidRPr="00FC1539" w:rsidRDefault="00FC1539" w:rsidP="00FC1539">
            <w:pPr>
              <w:keepNext/>
              <w:keepLines/>
              <w:overflowPunct w:val="0"/>
              <w:autoSpaceDE w:val="0"/>
              <w:autoSpaceDN w:val="0"/>
              <w:adjustRightInd w:val="0"/>
              <w:spacing w:after="0"/>
              <w:jc w:val="center"/>
              <w:textAlignment w:val="baseline"/>
              <w:rPr>
                <w:rFonts w:ascii="Arial" w:eastAsia="等线" w:hAnsi="Arial"/>
                <w:b/>
                <w:sz w:val="18"/>
                <w:lang w:eastAsia="en-GB"/>
              </w:rPr>
            </w:pPr>
            <w:r w:rsidRPr="00FC1539">
              <w:rPr>
                <w:rFonts w:ascii="Arial" w:eastAsia="等线" w:hAnsi="Arial"/>
                <w:b/>
                <w:sz w:val="18"/>
                <w:lang w:eastAsia="en-GB"/>
              </w:rPr>
              <w:t>Description</w:t>
            </w:r>
          </w:p>
        </w:tc>
      </w:tr>
      <w:tr w:rsidR="00FC1539" w:rsidRPr="00FC1539" w14:paraId="031CC4A8" w14:textId="77777777" w:rsidTr="00BB43A7">
        <w:tc>
          <w:tcPr>
            <w:tcW w:w="3681" w:type="dxa"/>
          </w:tcPr>
          <w:p w14:paraId="18B5A20E"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Applicable Area</w:t>
            </w:r>
          </w:p>
        </w:tc>
        <w:tc>
          <w:tcPr>
            <w:tcW w:w="5950" w:type="dxa"/>
          </w:tcPr>
          <w:p w14:paraId="0B16C1FD"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A geographical area as defined in TS 23.273 [39] that the analytics applies to.</w:t>
            </w:r>
          </w:p>
        </w:tc>
      </w:tr>
      <w:tr w:rsidR="00FC1539" w:rsidRPr="00FC1539" w14:paraId="5ECA3A4F" w14:textId="77777777" w:rsidTr="00BB43A7">
        <w:tc>
          <w:tcPr>
            <w:tcW w:w="3681" w:type="dxa"/>
          </w:tcPr>
          <w:p w14:paraId="01B107EC"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Time slot entry (</w:t>
            </w:r>
            <w:proofErr w:type="gramStart"/>
            <w:r w:rsidRPr="00FC1539">
              <w:rPr>
                <w:rFonts w:ascii="Arial" w:eastAsia="等线" w:hAnsi="Arial"/>
                <w:sz w:val="18"/>
                <w:lang w:eastAsia="en-GB"/>
              </w:rPr>
              <w:t>1..</w:t>
            </w:r>
            <w:proofErr w:type="gramEnd"/>
            <w:r w:rsidRPr="00FC1539">
              <w:rPr>
                <w:rFonts w:ascii="Arial" w:eastAsia="等线" w:hAnsi="Arial"/>
                <w:sz w:val="18"/>
                <w:lang w:eastAsia="en-GB"/>
              </w:rPr>
              <w:t>max)</w:t>
            </w:r>
          </w:p>
        </w:tc>
        <w:tc>
          <w:tcPr>
            <w:tcW w:w="5950" w:type="dxa"/>
          </w:tcPr>
          <w:p w14:paraId="7F89A6A0"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List of time slots during the Analytics target period</w:t>
            </w:r>
          </w:p>
        </w:tc>
      </w:tr>
      <w:tr w:rsidR="00FC1539" w:rsidRPr="00FC1539" w14:paraId="3CCA8A3D" w14:textId="77777777" w:rsidTr="00BB43A7">
        <w:tc>
          <w:tcPr>
            <w:tcW w:w="3681" w:type="dxa"/>
          </w:tcPr>
          <w:p w14:paraId="0F2BDA85"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 xml:space="preserve">  &gt; Time slot start</w:t>
            </w:r>
          </w:p>
        </w:tc>
        <w:tc>
          <w:tcPr>
            <w:tcW w:w="5950" w:type="dxa"/>
          </w:tcPr>
          <w:p w14:paraId="206AD06C"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Time slot start within the Analytics target period</w:t>
            </w:r>
          </w:p>
        </w:tc>
      </w:tr>
      <w:tr w:rsidR="00FC1539" w:rsidRPr="00FC1539" w14:paraId="4F5C08D3" w14:textId="77777777" w:rsidTr="00BB43A7">
        <w:tc>
          <w:tcPr>
            <w:tcW w:w="3681" w:type="dxa"/>
          </w:tcPr>
          <w:p w14:paraId="4126192E"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 xml:space="preserve">  &gt; Duration</w:t>
            </w:r>
          </w:p>
        </w:tc>
        <w:tc>
          <w:tcPr>
            <w:tcW w:w="5950" w:type="dxa"/>
          </w:tcPr>
          <w:p w14:paraId="6DA0DD70"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Duration of the time slot</w:t>
            </w:r>
          </w:p>
        </w:tc>
      </w:tr>
      <w:tr w:rsidR="00FC1539" w:rsidRPr="00FC1539" w14:paraId="0D5AA04E" w14:textId="77777777" w:rsidTr="00BB43A7">
        <w:tc>
          <w:tcPr>
            <w:tcW w:w="3681" w:type="dxa"/>
          </w:tcPr>
          <w:p w14:paraId="18CB594D"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 xml:space="preserve">  &gt; Total number of </w:t>
            </w:r>
            <w:r w:rsidRPr="00FC1539">
              <w:rPr>
                <w:rFonts w:ascii="Arial" w:eastAsia="等线" w:hAnsi="Arial"/>
                <w:sz w:val="18"/>
                <w:lang w:eastAsia="ko-KR"/>
              </w:rPr>
              <w:t xml:space="preserve">UEs </w:t>
            </w:r>
            <w:r w:rsidRPr="00FC1539">
              <w:rPr>
                <w:rFonts w:ascii="Arial" w:eastAsia="MS Mincho" w:hAnsi="Arial" w:hint="eastAsia"/>
                <w:sz w:val="18"/>
                <w:lang w:eastAsia="ja-JP"/>
              </w:rPr>
              <w:t>(</w:t>
            </w:r>
            <w:r w:rsidRPr="00FC1539">
              <w:rPr>
                <w:rFonts w:ascii="Arial" w:eastAsia="MS Mincho" w:hAnsi="Arial"/>
                <w:sz w:val="18"/>
                <w:lang w:eastAsia="ja-JP"/>
              </w:rPr>
              <w:t>NOTE)</w:t>
            </w:r>
          </w:p>
        </w:tc>
        <w:tc>
          <w:tcPr>
            <w:tcW w:w="5950" w:type="dxa"/>
          </w:tcPr>
          <w:p w14:paraId="4C2D9FDC"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ko-KR"/>
              </w:rPr>
              <w:t>Total number of UEs in the area of interest</w:t>
            </w:r>
          </w:p>
        </w:tc>
      </w:tr>
      <w:tr w:rsidR="00FC1539" w:rsidRPr="00FC1539" w14:paraId="19CBBAA3" w14:textId="77777777" w:rsidTr="00BB43A7">
        <w:tc>
          <w:tcPr>
            <w:tcW w:w="3681" w:type="dxa"/>
          </w:tcPr>
          <w:p w14:paraId="68C47A98"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 xml:space="preserve">  &gt; Ratio of moving UEs (NOTE)</w:t>
            </w:r>
          </w:p>
        </w:tc>
        <w:tc>
          <w:tcPr>
            <w:tcW w:w="5950" w:type="dxa"/>
          </w:tcPr>
          <w:p w14:paraId="54A00424"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ko-KR"/>
              </w:rPr>
            </w:pPr>
            <w:r w:rsidRPr="00FC1539">
              <w:rPr>
                <w:rFonts w:ascii="Arial" w:eastAsia="等线" w:hAnsi="Arial"/>
                <w:sz w:val="18"/>
                <w:lang w:eastAsia="en-GB"/>
              </w:rPr>
              <w:t xml:space="preserve">Ratio of moving UEs </w:t>
            </w:r>
            <w:r w:rsidRPr="00FC1539">
              <w:rPr>
                <w:rFonts w:ascii="Arial" w:eastAsia="等线" w:hAnsi="Arial"/>
                <w:sz w:val="18"/>
                <w:lang w:eastAsia="ko-KR"/>
              </w:rPr>
              <w:t>in the area of interest</w:t>
            </w:r>
          </w:p>
        </w:tc>
      </w:tr>
      <w:tr w:rsidR="00FC1539" w:rsidRPr="00FC1539" w14:paraId="4A549713" w14:textId="77777777" w:rsidTr="00BB43A7">
        <w:tc>
          <w:tcPr>
            <w:tcW w:w="3681" w:type="dxa"/>
          </w:tcPr>
          <w:p w14:paraId="37C3C5B9"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 xml:space="preserve">  &gt; Average speed</w:t>
            </w:r>
            <w:r w:rsidRPr="00FC1539">
              <w:rPr>
                <w:rFonts w:ascii="Arial" w:eastAsia="等线" w:hAnsi="Arial"/>
                <w:sz w:val="18"/>
                <w:lang w:eastAsia="ko-KR"/>
              </w:rPr>
              <w:t xml:space="preserve"> </w:t>
            </w:r>
            <w:r w:rsidRPr="00FC1539">
              <w:rPr>
                <w:rFonts w:ascii="Arial" w:eastAsia="MS Mincho" w:hAnsi="Arial" w:hint="eastAsia"/>
                <w:sz w:val="18"/>
                <w:lang w:eastAsia="ja-JP"/>
              </w:rPr>
              <w:t>(</w:t>
            </w:r>
            <w:r w:rsidRPr="00FC1539">
              <w:rPr>
                <w:rFonts w:ascii="Arial" w:eastAsia="MS Mincho" w:hAnsi="Arial"/>
                <w:sz w:val="18"/>
                <w:lang w:eastAsia="ja-JP"/>
              </w:rPr>
              <w:t>NOTE)</w:t>
            </w:r>
          </w:p>
        </w:tc>
        <w:tc>
          <w:tcPr>
            <w:tcW w:w="5950" w:type="dxa"/>
          </w:tcPr>
          <w:p w14:paraId="6C85211F"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ko-KR"/>
              </w:rPr>
              <w:t>Average speed of all UEs in the area of interest</w:t>
            </w:r>
          </w:p>
        </w:tc>
      </w:tr>
      <w:tr w:rsidR="00FC1539" w:rsidRPr="00FC1539" w14:paraId="5DCD2AFE" w14:textId="77777777" w:rsidTr="00BB43A7">
        <w:tc>
          <w:tcPr>
            <w:tcW w:w="3681" w:type="dxa"/>
          </w:tcPr>
          <w:p w14:paraId="2A3494A3"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 xml:space="preserve">  &gt; Speed threshold (1...max)</w:t>
            </w:r>
            <w:r w:rsidRPr="00FC1539">
              <w:rPr>
                <w:rFonts w:ascii="Arial" w:eastAsia="等线" w:hAnsi="Arial"/>
                <w:sz w:val="18"/>
                <w:lang w:eastAsia="ko-KR"/>
              </w:rPr>
              <w:t xml:space="preserve"> </w:t>
            </w:r>
            <w:r w:rsidRPr="00FC1539">
              <w:rPr>
                <w:rFonts w:ascii="Arial" w:eastAsia="MS Mincho" w:hAnsi="Arial" w:hint="eastAsia"/>
                <w:sz w:val="18"/>
                <w:lang w:eastAsia="ja-JP"/>
              </w:rPr>
              <w:t>(</w:t>
            </w:r>
            <w:r w:rsidRPr="00FC1539">
              <w:rPr>
                <w:rFonts w:ascii="Arial" w:eastAsia="MS Mincho" w:hAnsi="Arial"/>
                <w:sz w:val="18"/>
                <w:lang w:eastAsia="ja-JP"/>
              </w:rPr>
              <w:t>NOTE)</w:t>
            </w:r>
          </w:p>
        </w:tc>
        <w:tc>
          <w:tcPr>
            <w:tcW w:w="5950" w:type="dxa"/>
          </w:tcPr>
          <w:p w14:paraId="3E36F7CC"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ko-KR"/>
              </w:rPr>
            </w:pPr>
            <w:r w:rsidRPr="00FC1539">
              <w:rPr>
                <w:rFonts w:ascii="Arial" w:eastAsia="等线" w:hAnsi="Arial"/>
                <w:sz w:val="18"/>
                <w:lang w:eastAsia="ko-KR"/>
              </w:rPr>
              <w:t>Threshold utilized to filter the UEs</w:t>
            </w:r>
          </w:p>
        </w:tc>
      </w:tr>
      <w:tr w:rsidR="00FC1539" w:rsidRPr="00FC1539" w14:paraId="21FEC14C" w14:textId="77777777" w:rsidTr="00BB43A7">
        <w:tc>
          <w:tcPr>
            <w:tcW w:w="3681" w:type="dxa"/>
          </w:tcPr>
          <w:p w14:paraId="22F742F8"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 xml:space="preserve">      &gt;&gt; Number of UEs</w:t>
            </w:r>
          </w:p>
        </w:tc>
        <w:tc>
          <w:tcPr>
            <w:tcW w:w="5950" w:type="dxa"/>
          </w:tcPr>
          <w:p w14:paraId="02D0DEC4"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ko-KR"/>
              </w:rPr>
            </w:pPr>
            <w:r w:rsidRPr="00FC1539">
              <w:rPr>
                <w:rFonts w:ascii="Arial" w:eastAsia="等线" w:hAnsi="Arial"/>
                <w:sz w:val="18"/>
                <w:lang w:eastAsia="ko-KR"/>
              </w:rPr>
              <w:t>The number of UEs whose speed is faster than the speed threshold</w:t>
            </w:r>
          </w:p>
        </w:tc>
      </w:tr>
      <w:tr w:rsidR="00FC1539" w:rsidRPr="00FC1539" w14:paraId="5E93469D" w14:textId="77777777" w:rsidTr="00BB43A7">
        <w:tc>
          <w:tcPr>
            <w:tcW w:w="3681" w:type="dxa"/>
          </w:tcPr>
          <w:p w14:paraId="454A4E03"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 xml:space="preserve">      &gt;&gt; Ratio</w:t>
            </w:r>
          </w:p>
        </w:tc>
        <w:tc>
          <w:tcPr>
            <w:tcW w:w="5950" w:type="dxa"/>
          </w:tcPr>
          <w:p w14:paraId="4E9FABEB"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ko-KR"/>
              </w:rPr>
            </w:pPr>
            <w:r w:rsidRPr="00FC1539">
              <w:rPr>
                <w:rFonts w:ascii="Arial" w:eastAsia="等线" w:hAnsi="Arial"/>
                <w:sz w:val="18"/>
                <w:lang w:eastAsia="en-GB"/>
              </w:rPr>
              <w:t>Percentage of UEs whose speed is faster than the speed threshold</w:t>
            </w:r>
          </w:p>
        </w:tc>
      </w:tr>
      <w:tr w:rsidR="00FC1539" w:rsidRPr="00FC1539" w14:paraId="4B5B0948" w14:textId="77777777" w:rsidTr="00BB43A7">
        <w:tc>
          <w:tcPr>
            <w:tcW w:w="3681" w:type="dxa"/>
          </w:tcPr>
          <w:p w14:paraId="5308D29F"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 xml:space="preserve">  &gt; Direction (1…max)</w:t>
            </w:r>
            <w:r w:rsidRPr="00FC1539">
              <w:rPr>
                <w:rFonts w:ascii="Arial" w:eastAsia="等线" w:hAnsi="Arial"/>
                <w:sz w:val="18"/>
                <w:lang w:eastAsia="ko-KR"/>
              </w:rPr>
              <w:t xml:space="preserve"> </w:t>
            </w:r>
            <w:r w:rsidRPr="00FC1539">
              <w:rPr>
                <w:rFonts w:ascii="Arial" w:eastAsia="MS Mincho" w:hAnsi="Arial" w:hint="eastAsia"/>
                <w:sz w:val="18"/>
                <w:lang w:eastAsia="ja-JP"/>
              </w:rPr>
              <w:t>(</w:t>
            </w:r>
            <w:r w:rsidRPr="00FC1539">
              <w:rPr>
                <w:rFonts w:ascii="Arial" w:eastAsia="MS Mincho" w:hAnsi="Arial"/>
                <w:sz w:val="18"/>
                <w:lang w:eastAsia="ja-JP"/>
              </w:rPr>
              <w:t>NOTE)</w:t>
            </w:r>
          </w:p>
        </w:tc>
        <w:tc>
          <w:tcPr>
            <w:tcW w:w="5950" w:type="dxa"/>
          </w:tcPr>
          <w:p w14:paraId="1484F295"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ko-KR"/>
              </w:rPr>
              <w:t>Heading directions of the UEs in the target area, such as north, south, east, west etc.</w:t>
            </w:r>
          </w:p>
        </w:tc>
      </w:tr>
      <w:tr w:rsidR="00FC1539" w:rsidRPr="00FC1539" w14:paraId="54A90BC7" w14:textId="77777777" w:rsidTr="00BB43A7">
        <w:tc>
          <w:tcPr>
            <w:tcW w:w="3681" w:type="dxa"/>
          </w:tcPr>
          <w:p w14:paraId="7E7FF01C"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 xml:space="preserve">      &gt;&gt; Number of UEs</w:t>
            </w:r>
          </w:p>
        </w:tc>
        <w:tc>
          <w:tcPr>
            <w:tcW w:w="5950" w:type="dxa"/>
          </w:tcPr>
          <w:p w14:paraId="0D2B6407"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ko-KR"/>
              </w:rPr>
            </w:pPr>
            <w:r w:rsidRPr="00FC1539">
              <w:rPr>
                <w:rFonts w:ascii="Arial" w:eastAsia="等线" w:hAnsi="Arial"/>
                <w:sz w:val="18"/>
                <w:lang w:eastAsia="ko-KR"/>
              </w:rPr>
              <w:t>The number of UEs in the specific direction</w:t>
            </w:r>
          </w:p>
        </w:tc>
      </w:tr>
      <w:tr w:rsidR="00FC1539" w:rsidRPr="00FC1539" w14:paraId="66731177" w14:textId="77777777" w:rsidTr="00BB43A7">
        <w:tc>
          <w:tcPr>
            <w:tcW w:w="3681" w:type="dxa"/>
          </w:tcPr>
          <w:p w14:paraId="7435A3B6"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 xml:space="preserve">      &gt;&gt; Average speed</w:t>
            </w:r>
          </w:p>
        </w:tc>
        <w:tc>
          <w:tcPr>
            <w:tcW w:w="5950" w:type="dxa"/>
          </w:tcPr>
          <w:p w14:paraId="48D675D4"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ko-KR"/>
              </w:rPr>
            </w:pPr>
            <w:r w:rsidRPr="00FC1539">
              <w:rPr>
                <w:rFonts w:ascii="Arial" w:eastAsia="等线" w:hAnsi="Arial"/>
                <w:sz w:val="18"/>
                <w:lang w:eastAsia="ko-KR"/>
              </w:rPr>
              <w:t>Average speed of UEs in the specific direction</w:t>
            </w:r>
          </w:p>
        </w:tc>
      </w:tr>
      <w:tr w:rsidR="00FC1539" w:rsidRPr="00FC1539" w14:paraId="5394CBF2" w14:textId="77777777" w:rsidTr="00BB43A7">
        <w:tc>
          <w:tcPr>
            <w:tcW w:w="3681" w:type="dxa"/>
          </w:tcPr>
          <w:p w14:paraId="6771FF0F"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 xml:space="preserve">      &gt;&gt; Ratio</w:t>
            </w:r>
          </w:p>
        </w:tc>
        <w:tc>
          <w:tcPr>
            <w:tcW w:w="5950" w:type="dxa"/>
          </w:tcPr>
          <w:p w14:paraId="1B52D3D1"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ko-KR"/>
              </w:rPr>
            </w:pPr>
            <w:r w:rsidRPr="00FC1539">
              <w:rPr>
                <w:rFonts w:ascii="Arial" w:eastAsia="等线" w:hAnsi="Arial"/>
                <w:sz w:val="18"/>
                <w:lang w:eastAsia="en-GB"/>
              </w:rPr>
              <w:t>Percentage of UEs in the specific direction</w:t>
            </w:r>
          </w:p>
        </w:tc>
      </w:tr>
      <w:tr w:rsidR="00FC1539" w:rsidRPr="00FC1539" w14:paraId="367D18B7" w14:textId="77777777" w:rsidTr="00BB43A7">
        <w:tc>
          <w:tcPr>
            <w:tcW w:w="9631" w:type="dxa"/>
            <w:gridSpan w:val="2"/>
          </w:tcPr>
          <w:p w14:paraId="0E60E6A6" w14:textId="77777777" w:rsidR="00FC1539" w:rsidRPr="00FC1539" w:rsidRDefault="00FC1539" w:rsidP="00FC1539">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FC1539">
              <w:rPr>
                <w:rFonts w:ascii="Arial" w:eastAsia="等线" w:hAnsi="Arial"/>
                <w:sz w:val="18"/>
                <w:lang w:eastAsia="en-GB"/>
              </w:rPr>
              <w:t>NOTE:</w:t>
            </w:r>
            <w:r w:rsidRPr="00FC1539">
              <w:rPr>
                <w:rFonts w:ascii="Arial" w:eastAsia="等线" w:hAnsi="Arial"/>
                <w:sz w:val="18"/>
                <w:lang w:eastAsia="en-GB"/>
              </w:rPr>
              <w:tab/>
              <w:t>Analytics subset that can be used in "list of analytics subsets that are requested" and "Preferred level of accuracy per analytics subset".</w:t>
            </w:r>
          </w:p>
        </w:tc>
      </w:tr>
    </w:tbl>
    <w:p w14:paraId="7829F6F9" w14:textId="77777777" w:rsidR="00FC1539" w:rsidRPr="00FC1539" w:rsidRDefault="00FC1539" w:rsidP="00FC1539">
      <w:pPr>
        <w:overflowPunct w:val="0"/>
        <w:autoSpaceDE w:val="0"/>
        <w:autoSpaceDN w:val="0"/>
        <w:adjustRightInd w:val="0"/>
        <w:textAlignment w:val="baseline"/>
        <w:rPr>
          <w:rFonts w:eastAsia="等线"/>
          <w:lang w:eastAsia="en-GB"/>
        </w:rPr>
      </w:pPr>
    </w:p>
    <w:p w14:paraId="7CF4AE22" w14:textId="77777777" w:rsidR="00FC1539" w:rsidRPr="00FC1539" w:rsidRDefault="00FC1539" w:rsidP="00FC1539">
      <w:pPr>
        <w:keepNext/>
        <w:keepLines/>
        <w:overflowPunct w:val="0"/>
        <w:autoSpaceDE w:val="0"/>
        <w:autoSpaceDN w:val="0"/>
        <w:adjustRightInd w:val="0"/>
        <w:spacing w:before="60"/>
        <w:jc w:val="center"/>
        <w:textAlignment w:val="baseline"/>
        <w:rPr>
          <w:rFonts w:ascii="Arial" w:eastAsia="等线" w:hAnsi="Arial"/>
          <w:b/>
          <w:lang w:eastAsia="en-GB"/>
        </w:rPr>
      </w:pPr>
      <w:r w:rsidRPr="00FC1539">
        <w:rPr>
          <w:rFonts w:ascii="Arial" w:eastAsia="等线" w:hAnsi="Arial"/>
          <w:b/>
          <w:lang w:eastAsia="en-GB"/>
        </w:rPr>
        <w:t>Table 6.21.3-2: movement behaviour predictions</w:t>
      </w:r>
    </w:p>
    <w:tbl>
      <w:tblPr>
        <w:tblStyle w:val="af3"/>
        <w:tblW w:w="0" w:type="auto"/>
        <w:tblLook w:val="04A0" w:firstRow="1" w:lastRow="0" w:firstColumn="1" w:lastColumn="0" w:noHBand="0" w:noVBand="1"/>
      </w:tblPr>
      <w:tblGrid>
        <w:gridCol w:w="3680"/>
        <w:gridCol w:w="5949"/>
      </w:tblGrid>
      <w:tr w:rsidR="00FC1539" w:rsidRPr="00FC1539" w14:paraId="39A05B5A" w14:textId="77777777" w:rsidTr="00BB43A7">
        <w:tc>
          <w:tcPr>
            <w:tcW w:w="3681" w:type="dxa"/>
          </w:tcPr>
          <w:p w14:paraId="51C93BF9" w14:textId="77777777" w:rsidR="00FC1539" w:rsidRPr="00FC1539" w:rsidRDefault="00FC1539" w:rsidP="00FC1539">
            <w:pPr>
              <w:keepNext/>
              <w:keepLines/>
              <w:overflowPunct w:val="0"/>
              <w:autoSpaceDE w:val="0"/>
              <w:autoSpaceDN w:val="0"/>
              <w:adjustRightInd w:val="0"/>
              <w:spacing w:after="0"/>
              <w:jc w:val="center"/>
              <w:textAlignment w:val="baseline"/>
              <w:rPr>
                <w:rFonts w:ascii="Arial" w:eastAsia="等线" w:hAnsi="Arial"/>
                <w:b/>
                <w:sz w:val="18"/>
                <w:lang w:eastAsia="en-GB"/>
              </w:rPr>
            </w:pPr>
            <w:r w:rsidRPr="00FC1539">
              <w:rPr>
                <w:rFonts w:ascii="Arial" w:eastAsia="等线" w:hAnsi="Arial"/>
                <w:b/>
                <w:sz w:val="18"/>
                <w:lang w:eastAsia="en-GB"/>
              </w:rPr>
              <w:t>Information</w:t>
            </w:r>
          </w:p>
        </w:tc>
        <w:tc>
          <w:tcPr>
            <w:tcW w:w="5950" w:type="dxa"/>
          </w:tcPr>
          <w:p w14:paraId="300E8F68" w14:textId="77777777" w:rsidR="00FC1539" w:rsidRPr="00FC1539" w:rsidRDefault="00FC1539" w:rsidP="00FC1539">
            <w:pPr>
              <w:keepNext/>
              <w:keepLines/>
              <w:overflowPunct w:val="0"/>
              <w:autoSpaceDE w:val="0"/>
              <w:autoSpaceDN w:val="0"/>
              <w:adjustRightInd w:val="0"/>
              <w:spacing w:after="0"/>
              <w:jc w:val="center"/>
              <w:textAlignment w:val="baseline"/>
              <w:rPr>
                <w:rFonts w:ascii="Arial" w:eastAsia="等线" w:hAnsi="Arial"/>
                <w:b/>
                <w:sz w:val="18"/>
                <w:lang w:eastAsia="en-GB"/>
              </w:rPr>
            </w:pPr>
            <w:r w:rsidRPr="00FC1539">
              <w:rPr>
                <w:rFonts w:ascii="Arial" w:eastAsia="等线" w:hAnsi="Arial"/>
                <w:b/>
                <w:sz w:val="18"/>
                <w:lang w:eastAsia="en-GB"/>
              </w:rPr>
              <w:t>Description</w:t>
            </w:r>
          </w:p>
        </w:tc>
      </w:tr>
      <w:tr w:rsidR="00FC1539" w:rsidRPr="00FC1539" w14:paraId="407DFD0A" w14:textId="77777777" w:rsidTr="00BB43A7">
        <w:tc>
          <w:tcPr>
            <w:tcW w:w="3681" w:type="dxa"/>
          </w:tcPr>
          <w:p w14:paraId="57DD6BFA"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Applicable Area</w:t>
            </w:r>
          </w:p>
        </w:tc>
        <w:tc>
          <w:tcPr>
            <w:tcW w:w="5950" w:type="dxa"/>
          </w:tcPr>
          <w:p w14:paraId="64843F51"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A geographical area as defined in TS 23.273 [39] that the analytics applies to</w:t>
            </w:r>
          </w:p>
        </w:tc>
      </w:tr>
      <w:tr w:rsidR="00FC1539" w:rsidRPr="00FC1539" w14:paraId="6A5C0ACA" w14:textId="77777777" w:rsidTr="00BB43A7">
        <w:tc>
          <w:tcPr>
            <w:tcW w:w="3681" w:type="dxa"/>
          </w:tcPr>
          <w:p w14:paraId="3C6130B7"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Time slot entry (</w:t>
            </w:r>
            <w:proofErr w:type="gramStart"/>
            <w:r w:rsidRPr="00FC1539">
              <w:rPr>
                <w:rFonts w:ascii="Arial" w:eastAsia="等线" w:hAnsi="Arial"/>
                <w:sz w:val="18"/>
                <w:lang w:eastAsia="en-GB"/>
              </w:rPr>
              <w:t>1..</w:t>
            </w:r>
            <w:proofErr w:type="gramEnd"/>
            <w:r w:rsidRPr="00FC1539">
              <w:rPr>
                <w:rFonts w:ascii="Arial" w:eastAsia="等线" w:hAnsi="Arial"/>
                <w:sz w:val="18"/>
                <w:lang w:eastAsia="en-GB"/>
              </w:rPr>
              <w:t>max)</w:t>
            </w:r>
          </w:p>
        </w:tc>
        <w:tc>
          <w:tcPr>
            <w:tcW w:w="5950" w:type="dxa"/>
          </w:tcPr>
          <w:p w14:paraId="7796AC47"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List of time slots during the Analytics target period</w:t>
            </w:r>
          </w:p>
        </w:tc>
      </w:tr>
      <w:tr w:rsidR="00FC1539" w:rsidRPr="00FC1539" w14:paraId="10C96A33" w14:textId="77777777" w:rsidTr="00BB43A7">
        <w:tc>
          <w:tcPr>
            <w:tcW w:w="3681" w:type="dxa"/>
          </w:tcPr>
          <w:p w14:paraId="6816CFE8"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 xml:space="preserve">  &gt; Time slot start</w:t>
            </w:r>
          </w:p>
        </w:tc>
        <w:tc>
          <w:tcPr>
            <w:tcW w:w="5950" w:type="dxa"/>
          </w:tcPr>
          <w:p w14:paraId="4E32E008"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Time slot start within the Analytics target period</w:t>
            </w:r>
          </w:p>
        </w:tc>
      </w:tr>
      <w:tr w:rsidR="00FC1539" w:rsidRPr="00FC1539" w14:paraId="2C5BEC70" w14:textId="77777777" w:rsidTr="00BB43A7">
        <w:tc>
          <w:tcPr>
            <w:tcW w:w="3681" w:type="dxa"/>
          </w:tcPr>
          <w:p w14:paraId="19FBF175"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 xml:space="preserve">  &gt; Duration</w:t>
            </w:r>
          </w:p>
        </w:tc>
        <w:tc>
          <w:tcPr>
            <w:tcW w:w="5950" w:type="dxa"/>
          </w:tcPr>
          <w:p w14:paraId="716AE18E"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Duration of the time slot</w:t>
            </w:r>
          </w:p>
        </w:tc>
      </w:tr>
      <w:tr w:rsidR="00FC1539" w:rsidRPr="00FC1539" w14:paraId="2EE0256E" w14:textId="77777777" w:rsidTr="00BB43A7">
        <w:tc>
          <w:tcPr>
            <w:tcW w:w="3681" w:type="dxa"/>
          </w:tcPr>
          <w:p w14:paraId="5D8A553C"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 xml:space="preserve">  &gt; Total number of </w:t>
            </w:r>
            <w:r w:rsidRPr="00FC1539">
              <w:rPr>
                <w:rFonts w:ascii="Arial" w:eastAsia="等线" w:hAnsi="Arial"/>
                <w:sz w:val="18"/>
                <w:lang w:eastAsia="ko-KR"/>
              </w:rPr>
              <w:t xml:space="preserve">UEs </w:t>
            </w:r>
            <w:r w:rsidRPr="00FC1539">
              <w:rPr>
                <w:rFonts w:ascii="Arial" w:eastAsia="MS Mincho" w:hAnsi="Arial" w:hint="eastAsia"/>
                <w:sz w:val="18"/>
                <w:lang w:eastAsia="ja-JP"/>
              </w:rPr>
              <w:t>(</w:t>
            </w:r>
            <w:r w:rsidRPr="00FC1539">
              <w:rPr>
                <w:rFonts w:ascii="Arial" w:eastAsia="MS Mincho" w:hAnsi="Arial"/>
                <w:sz w:val="18"/>
                <w:lang w:eastAsia="ja-JP"/>
              </w:rPr>
              <w:t>NOTE)</w:t>
            </w:r>
          </w:p>
        </w:tc>
        <w:tc>
          <w:tcPr>
            <w:tcW w:w="5950" w:type="dxa"/>
          </w:tcPr>
          <w:p w14:paraId="1EF4C2C1"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ko-KR"/>
              </w:rPr>
              <w:t>Total number of UEs in the area of interest</w:t>
            </w:r>
          </w:p>
        </w:tc>
      </w:tr>
      <w:tr w:rsidR="00FC1539" w:rsidRPr="00FC1539" w14:paraId="091A3397" w14:textId="77777777" w:rsidTr="00BB43A7">
        <w:tc>
          <w:tcPr>
            <w:tcW w:w="3681" w:type="dxa"/>
          </w:tcPr>
          <w:p w14:paraId="6808B317"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 xml:space="preserve">  &gt; Ratio of moving UEs (NOTE)</w:t>
            </w:r>
          </w:p>
        </w:tc>
        <w:tc>
          <w:tcPr>
            <w:tcW w:w="5950" w:type="dxa"/>
          </w:tcPr>
          <w:p w14:paraId="30CB7A29"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ko-KR"/>
              </w:rPr>
            </w:pPr>
            <w:r w:rsidRPr="00FC1539">
              <w:rPr>
                <w:rFonts w:ascii="Arial" w:eastAsia="等线" w:hAnsi="Arial"/>
                <w:sz w:val="18"/>
                <w:lang w:eastAsia="en-GB"/>
              </w:rPr>
              <w:t xml:space="preserve">Ratio of moving UEs </w:t>
            </w:r>
            <w:r w:rsidRPr="00FC1539">
              <w:rPr>
                <w:rFonts w:ascii="Arial" w:eastAsia="等线" w:hAnsi="Arial"/>
                <w:sz w:val="18"/>
                <w:lang w:eastAsia="ko-KR"/>
              </w:rPr>
              <w:t>in the area of interest</w:t>
            </w:r>
          </w:p>
        </w:tc>
      </w:tr>
      <w:tr w:rsidR="00FC1539" w:rsidRPr="00FC1539" w14:paraId="6AC1D065" w14:textId="77777777" w:rsidTr="00BB43A7">
        <w:tc>
          <w:tcPr>
            <w:tcW w:w="3681" w:type="dxa"/>
          </w:tcPr>
          <w:p w14:paraId="4D39E047"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 xml:space="preserve">  &gt; Average speed</w:t>
            </w:r>
            <w:r w:rsidRPr="00FC1539">
              <w:rPr>
                <w:rFonts w:ascii="Arial" w:eastAsia="等线" w:hAnsi="Arial"/>
                <w:sz w:val="18"/>
                <w:lang w:eastAsia="ko-KR"/>
              </w:rPr>
              <w:t xml:space="preserve"> </w:t>
            </w:r>
            <w:r w:rsidRPr="00FC1539">
              <w:rPr>
                <w:rFonts w:ascii="Arial" w:eastAsia="MS Mincho" w:hAnsi="Arial" w:hint="eastAsia"/>
                <w:sz w:val="18"/>
                <w:lang w:eastAsia="ja-JP"/>
              </w:rPr>
              <w:t>(</w:t>
            </w:r>
            <w:r w:rsidRPr="00FC1539">
              <w:rPr>
                <w:rFonts w:ascii="Arial" w:eastAsia="MS Mincho" w:hAnsi="Arial"/>
                <w:sz w:val="18"/>
                <w:lang w:eastAsia="ja-JP"/>
              </w:rPr>
              <w:t>NOTE)</w:t>
            </w:r>
          </w:p>
        </w:tc>
        <w:tc>
          <w:tcPr>
            <w:tcW w:w="5950" w:type="dxa"/>
          </w:tcPr>
          <w:p w14:paraId="405DD504"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ko-KR"/>
              </w:rPr>
              <w:t>Average speed of all UEs in the area of interest</w:t>
            </w:r>
          </w:p>
        </w:tc>
      </w:tr>
      <w:tr w:rsidR="00FC1539" w:rsidRPr="00FC1539" w14:paraId="2C21AE86" w14:textId="77777777" w:rsidTr="00BB43A7">
        <w:tc>
          <w:tcPr>
            <w:tcW w:w="3681" w:type="dxa"/>
          </w:tcPr>
          <w:p w14:paraId="286499A5"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 xml:space="preserve">  &gt; Speed threshold (1...max)</w:t>
            </w:r>
            <w:r w:rsidRPr="00FC1539">
              <w:rPr>
                <w:rFonts w:ascii="Arial" w:eastAsia="等线" w:hAnsi="Arial"/>
                <w:sz w:val="18"/>
                <w:lang w:eastAsia="ko-KR"/>
              </w:rPr>
              <w:t xml:space="preserve"> </w:t>
            </w:r>
            <w:r w:rsidRPr="00FC1539">
              <w:rPr>
                <w:rFonts w:ascii="Arial" w:eastAsia="MS Mincho" w:hAnsi="Arial" w:hint="eastAsia"/>
                <w:sz w:val="18"/>
                <w:lang w:eastAsia="ja-JP"/>
              </w:rPr>
              <w:t>(</w:t>
            </w:r>
            <w:r w:rsidRPr="00FC1539">
              <w:rPr>
                <w:rFonts w:ascii="Arial" w:eastAsia="MS Mincho" w:hAnsi="Arial"/>
                <w:sz w:val="18"/>
                <w:lang w:eastAsia="ja-JP"/>
              </w:rPr>
              <w:t>NOTE)</w:t>
            </w:r>
          </w:p>
        </w:tc>
        <w:tc>
          <w:tcPr>
            <w:tcW w:w="5950" w:type="dxa"/>
          </w:tcPr>
          <w:p w14:paraId="36671872"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ko-KR"/>
              </w:rPr>
            </w:pPr>
            <w:r w:rsidRPr="00FC1539">
              <w:rPr>
                <w:rFonts w:ascii="Arial" w:eastAsia="等线" w:hAnsi="Arial"/>
                <w:sz w:val="18"/>
                <w:lang w:eastAsia="ko-KR"/>
              </w:rPr>
              <w:t>Threshold utilized to filter the UEs</w:t>
            </w:r>
          </w:p>
        </w:tc>
      </w:tr>
      <w:tr w:rsidR="00FC1539" w:rsidRPr="00FC1539" w14:paraId="23FDAB8A" w14:textId="77777777" w:rsidTr="00BB43A7">
        <w:tc>
          <w:tcPr>
            <w:tcW w:w="3681" w:type="dxa"/>
          </w:tcPr>
          <w:p w14:paraId="23310DBE"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 xml:space="preserve">      &gt;&gt; Number of UEs</w:t>
            </w:r>
          </w:p>
        </w:tc>
        <w:tc>
          <w:tcPr>
            <w:tcW w:w="5950" w:type="dxa"/>
          </w:tcPr>
          <w:p w14:paraId="2BE8FB4E"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ko-KR"/>
              </w:rPr>
            </w:pPr>
            <w:r w:rsidRPr="00FC1539">
              <w:rPr>
                <w:rFonts w:ascii="Arial" w:eastAsia="等线" w:hAnsi="Arial"/>
                <w:sz w:val="18"/>
                <w:lang w:eastAsia="ko-KR"/>
              </w:rPr>
              <w:t>The number of UEs whose speed is faster than the speed threshold</w:t>
            </w:r>
          </w:p>
        </w:tc>
      </w:tr>
      <w:tr w:rsidR="00FC1539" w:rsidRPr="00FC1539" w14:paraId="26A2FC94" w14:textId="77777777" w:rsidTr="00BB43A7">
        <w:tc>
          <w:tcPr>
            <w:tcW w:w="3681" w:type="dxa"/>
          </w:tcPr>
          <w:p w14:paraId="55AA9C8E"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 xml:space="preserve">      &gt;&gt; Ratio</w:t>
            </w:r>
          </w:p>
        </w:tc>
        <w:tc>
          <w:tcPr>
            <w:tcW w:w="5950" w:type="dxa"/>
          </w:tcPr>
          <w:p w14:paraId="0D44E21C"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ko-KR"/>
              </w:rPr>
            </w:pPr>
            <w:r w:rsidRPr="00FC1539">
              <w:rPr>
                <w:rFonts w:ascii="Arial" w:eastAsia="等线" w:hAnsi="Arial"/>
                <w:sz w:val="18"/>
                <w:lang w:eastAsia="en-GB"/>
              </w:rPr>
              <w:t>Percentage of UEs whose speed is faster than the speed threshold</w:t>
            </w:r>
          </w:p>
        </w:tc>
      </w:tr>
      <w:tr w:rsidR="00FC1539" w:rsidRPr="00FC1539" w14:paraId="65AF1187" w14:textId="77777777" w:rsidTr="00BB43A7">
        <w:tc>
          <w:tcPr>
            <w:tcW w:w="3681" w:type="dxa"/>
          </w:tcPr>
          <w:p w14:paraId="55C07A47"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 xml:space="preserve">  &gt; Direction (</w:t>
            </w:r>
            <w:proofErr w:type="gramStart"/>
            <w:r w:rsidRPr="00FC1539">
              <w:rPr>
                <w:rFonts w:ascii="Arial" w:eastAsia="等线" w:hAnsi="Arial"/>
                <w:sz w:val="18"/>
                <w:lang w:eastAsia="en-GB"/>
              </w:rPr>
              <w:t>1..</w:t>
            </w:r>
            <w:proofErr w:type="gramEnd"/>
            <w:r w:rsidRPr="00FC1539">
              <w:rPr>
                <w:rFonts w:ascii="Arial" w:eastAsia="等线" w:hAnsi="Arial"/>
                <w:sz w:val="18"/>
                <w:lang w:eastAsia="en-GB"/>
              </w:rPr>
              <w:t>max)</w:t>
            </w:r>
            <w:r w:rsidRPr="00FC1539">
              <w:rPr>
                <w:rFonts w:ascii="Arial" w:eastAsia="等线" w:hAnsi="Arial"/>
                <w:sz w:val="18"/>
                <w:lang w:eastAsia="ko-KR"/>
              </w:rPr>
              <w:t xml:space="preserve"> </w:t>
            </w:r>
            <w:r w:rsidRPr="00FC1539">
              <w:rPr>
                <w:rFonts w:ascii="Arial" w:eastAsia="MS Mincho" w:hAnsi="Arial" w:hint="eastAsia"/>
                <w:sz w:val="18"/>
                <w:lang w:eastAsia="ja-JP"/>
              </w:rPr>
              <w:t>(</w:t>
            </w:r>
            <w:r w:rsidRPr="00FC1539">
              <w:rPr>
                <w:rFonts w:ascii="Arial" w:eastAsia="MS Mincho" w:hAnsi="Arial"/>
                <w:sz w:val="18"/>
                <w:lang w:eastAsia="ja-JP"/>
              </w:rPr>
              <w:t>NOTE)</w:t>
            </w:r>
          </w:p>
        </w:tc>
        <w:tc>
          <w:tcPr>
            <w:tcW w:w="5950" w:type="dxa"/>
          </w:tcPr>
          <w:p w14:paraId="541FDEB1"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ko-KR"/>
              </w:rPr>
              <w:t>Heading directions of the UEs in the target area, such as north, south, east, west etc.</w:t>
            </w:r>
          </w:p>
        </w:tc>
      </w:tr>
      <w:tr w:rsidR="00FC1539" w:rsidRPr="00FC1539" w14:paraId="44601920" w14:textId="77777777" w:rsidTr="00BB43A7">
        <w:tc>
          <w:tcPr>
            <w:tcW w:w="3681" w:type="dxa"/>
          </w:tcPr>
          <w:p w14:paraId="08405119"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 xml:space="preserve">      &gt;&gt; Number of UEs</w:t>
            </w:r>
          </w:p>
        </w:tc>
        <w:tc>
          <w:tcPr>
            <w:tcW w:w="5950" w:type="dxa"/>
          </w:tcPr>
          <w:p w14:paraId="2673D286"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ko-KR"/>
              </w:rPr>
            </w:pPr>
            <w:r w:rsidRPr="00FC1539">
              <w:rPr>
                <w:rFonts w:ascii="Arial" w:eastAsia="等线" w:hAnsi="Arial"/>
                <w:sz w:val="18"/>
                <w:lang w:eastAsia="ko-KR"/>
              </w:rPr>
              <w:t>The number of UEs in the specific direction</w:t>
            </w:r>
          </w:p>
        </w:tc>
      </w:tr>
      <w:tr w:rsidR="00FC1539" w:rsidRPr="00FC1539" w14:paraId="43EDF93D" w14:textId="77777777" w:rsidTr="00BB43A7">
        <w:tc>
          <w:tcPr>
            <w:tcW w:w="3681" w:type="dxa"/>
          </w:tcPr>
          <w:p w14:paraId="35B0AE2D"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 xml:space="preserve">      &gt;&gt; Average speed</w:t>
            </w:r>
          </w:p>
        </w:tc>
        <w:tc>
          <w:tcPr>
            <w:tcW w:w="5950" w:type="dxa"/>
          </w:tcPr>
          <w:p w14:paraId="5616CE1C"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ko-KR"/>
              </w:rPr>
            </w:pPr>
            <w:r w:rsidRPr="00FC1539">
              <w:rPr>
                <w:rFonts w:ascii="Arial" w:eastAsia="等线" w:hAnsi="Arial"/>
                <w:sz w:val="18"/>
                <w:lang w:eastAsia="ko-KR"/>
              </w:rPr>
              <w:t>Average speed of UEs in the specific direction</w:t>
            </w:r>
          </w:p>
        </w:tc>
      </w:tr>
      <w:tr w:rsidR="00FC1539" w:rsidRPr="00FC1539" w14:paraId="6D471C84" w14:textId="77777777" w:rsidTr="00BB43A7">
        <w:tc>
          <w:tcPr>
            <w:tcW w:w="3681" w:type="dxa"/>
          </w:tcPr>
          <w:p w14:paraId="1B7F76AC"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 xml:space="preserve">      &gt;&gt; Ratio</w:t>
            </w:r>
          </w:p>
        </w:tc>
        <w:tc>
          <w:tcPr>
            <w:tcW w:w="5950" w:type="dxa"/>
          </w:tcPr>
          <w:p w14:paraId="03F87257"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ko-KR"/>
              </w:rPr>
            </w:pPr>
            <w:r w:rsidRPr="00FC1539">
              <w:rPr>
                <w:rFonts w:ascii="Arial" w:eastAsia="等线" w:hAnsi="Arial"/>
                <w:sz w:val="18"/>
                <w:lang w:eastAsia="en-GB"/>
              </w:rPr>
              <w:t>Percentage of UEs in the specific direction</w:t>
            </w:r>
          </w:p>
        </w:tc>
      </w:tr>
      <w:tr w:rsidR="00FC1539" w:rsidRPr="00FC1539" w14:paraId="70631A4A" w14:textId="77777777" w:rsidTr="00BB43A7">
        <w:tc>
          <w:tcPr>
            <w:tcW w:w="3681" w:type="dxa"/>
          </w:tcPr>
          <w:p w14:paraId="5C1DD489" w14:textId="46507B2A" w:rsidR="00FC1539" w:rsidRPr="00FC1539" w:rsidRDefault="00E30798" w:rsidP="00E30798">
            <w:pPr>
              <w:keepNext/>
              <w:keepLines/>
              <w:overflowPunct w:val="0"/>
              <w:autoSpaceDE w:val="0"/>
              <w:autoSpaceDN w:val="0"/>
              <w:adjustRightInd w:val="0"/>
              <w:spacing w:after="0"/>
              <w:textAlignment w:val="baseline"/>
              <w:rPr>
                <w:rFonts w:ascii="Arial" w:eastAsia="等线" w:hAnsi="Arial"/>
                <w:sz w:val="18"/>
                <w:lang w:eastAsia="en-GB"/>
              </w:rPr>
            </w:pPr>
            <w:ins w:id="20" w:author="vivo-r00" w:date="2025-08-15T09:29:00Z">
              <w:r w:rsidRPr="00FC1539">
                <w:rPr>
                  <w:rFonts w:ascii="Arial" w:eastAsia="等线" w:hAnsi="Arial"/>
                  <w:sz w:val="18"/>
                  <w:lang w:eastAsia="en-GB"/>
                </w:rPr>
                <w:t xml:space="preserve">  &gt; </w:t>
              </w:r>
            </w:ins>
            <w:r w:rsidR="00FC1539" w:rsidRPr="00FC1539">
              <w:rPr>
                <w:rFonts w:ascii="Arial" w:eastAsia="等线" w:hAnsi="Arial"/>
                <w:sz w:val="18"/>
                <w:lang w:eastAsia="en-GB"/>
              </w:rPr>
              <w:t>Confidence</w:t>
            </w:r>
          </w:p>
        </w:tc>
        <w:tc>
          <w:tcPr>
            <w:tcW w:w="5950" w:type="dxa"/>
          </w:tcPr>
          <w:p w14:paraId="7F6F6ADA" w14:textId="77777777" w:rsidR="00FC1539" w:rsidRPr="00FC1539" w:rsidRDefault="00FC1539" w:rsidP="00FC1539">
            <w:pPr>
              <w:keepNext/>
              <w:keepLines/>
              <w:overflowPunct w:val="0"/>
              <w:autoSpaceDE w:val="0"/>
              <w:autoSpaceDN w:val="0"/>
              <w:adjustRightInd w:val="0"/>
              <w:spacing w:after="0"/>
              <w:textAlignment w:val="baseline"/>
              <w:rPr>
                <w:rFonts w:ascii="Arial" w:eastAsia="等线" w:hAnsi="Arial"/>
                <w:sz w:val="18"/>
                <w:lang w:eastAsia="en-GB"/>
              </w:rPr>
            </w:pPr>
            <w:r w:rsidRPr="00FC1539">
              <w:rPr>
                <w:rFonts w:ascii="Arial" w:eastAsia="等线" w:hAnsi="Arial"/>
                <w:sz w:val="18"/>
                <w:lang w:eastAsia="en-GB"/>
              </w:rPr>
              <w:t>Confidence of the prediction</w:t>
            </w:r>
          </w:p>
        </w:tc>
      </w:tr>
      <w:tr w:rsidR="00FC1539" w:rsidRPr="00FC1539" w14:paraId="512E05EA" w14:textId="77777777" w:rsidTr="00BB43A7">
        <w:tc>
          <w:tcPr>
            <w:tcW w:w="9631" w:type="dxa"/>
            <w:gridSpan w:val="2"/>
          </w:tcPr>
          <w:p w14:paraId="24F474B5" w14:textId="77777777" w:rsidR="00FC1539" w:rsidRPr="00FC1539" w:rsidRDefault="00FC1539" w:rsidP="00FC1539">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FC1539">
              <w:rPr>
                <w:rFonts w:ascii="Arial" w:eastAsia="等线" w:hAnsi="Arial"/>
                <w:sz w:val="18"/>
                <w:lang w:eastAsia="en-GB"/>
              </w:rPr>
              <w:t>NOTE:</w:t>
            </w:r>
            <w:r w:rsidRPr="00FC1539">
              <w:rPr>
                <w:rFonts w:ascii="Arial" w:eastAsia="等线" w:hAnsi="Arial"/>
                <w:sz w:val="18"/>
                <w:lang w:eastAsia="en-GB"/>
              </w:rPr>
              <w:tab/>
              <w:t>Analytics subset that can be used in "list of analytics subsets that are requested" and "Preferred level of accuracy per analytics subset".</w:t>
            </w:r>
          </w:p>
        </w:tc>
      </w:tr>
      <w:bookmarkEnd w:id="16"/>
    </w:tbl>
    <w:p w14:paraId="0C059AD5" w14:textId="77777777" w:rsidR="00F614AB" w:rsidRPr="00B437DB" w:rsidRDefault="00F614AB">
      <w:pPr>
        <w:rPr>
          <w:noProof/>
          <w:lang w:eastAsia="ko-KR"/>
        </w:rPr>
      </w:pPr>
    </w:p>
    <w:p w14:paraId="1020CB11" w14:textId="5A244779" w:rsidR="00A75324" w:rsidRPr="0042466D" w:rsidRDefault="00A75324" w:rsidP="00A753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EB0CAF">
        <w:rPr>
          <w:rFonts w:ascii="Arial" w:hAnsi="Arial" w:cs="Arial"/>
          <w:color w:val="FF0000"/>
          <w:sz w:val="28"/>
          <w:szCs w:val="28"/>
          <w:lang w:val="en-US" w:eastAsia="zh-CN"/>
        </w:rPr>
        <w:t>E</w:t>
      </w:r>
      <w:r>
        <w:rPr>
          <w:rFonts w:ascii="Arial" w:hAnsi="Arial" w:cs="Arial"/>
          <w:color w:val="FF0000"/>
          <w:sz w:val="28"/>
          <w:szCs w:val="28"/>
          <w:lang w:val="en-US" w:eastAsia="zh-CN"/>
        </w:rPr>
        <w:t>nd of changes</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146F58F6" w14:textId="0EB495BC" w:rsidR="00A96095" w:rsidRDefault="00A96095">
      <w:pPr>
        <w:rPr>
          <w:noProof/>
          <w:lang w:eastAsia="ko-KR"/>
        </w:rPr>
      </w:pPr>
    </w:p>
    <w:sectPr w:rsidR="00A9609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A6A2DC1" w16cex:dateUtc="2025-08-27T21:54:00Z"/>
  <w16cex:commentExtensible w16cex:durableId="3C1DA995" w16cex:dateUtc="2025-08-27T22:0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3E0641" w14:textId="77777777" w:rsidR="003343C8" w:rsidRDefault="003343C8">
      <w:r>
        <w:separator/>
      </w:r>
    </w:p>
  </w:endnote>
  <w:endnote w:type="continuationSeparator" w:id="0">
    <w:p w14:paraId="5D032321" w14:textId="77777777" w:rsidR="003343C8" w:rsidRDefault="003343C8">
      <w:r>
        <w:continuationSeparator/>
      </w:r>
    </w:p>
  </w:endnote>
  <w:endnote w:type="continuationNotice" w:id="1">
    <w:p w14:paraId="0D79C981" w14:textId="77777777" w:rsidR="003343C8" w:rsidRDefault="003343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9E038C" w14:textId="77777777" w:rsidR="003343C8" w:rsidRDefault="003343C8">
      <w:r>
        <w:separator/>
      </w:r>
    </w:p>
  </w:footnote>
  <w:footnote w:type="continuationSeparator" w:id="0">
    <w:p w14:paraId="7B8A76B5" w14:textId="77777777" w:rsidR="003343C8" w:rsidRDefault="003343C8">
      <w:r>
        <w:continuationSeparator/>
      </w:r>
    </w:p>
  </w:footnote>
  <w:footnote w:type="continuationNotice" w:id="1">
    <w:p w14:paraId="2EEEA071" w14:textId="77777777" w:rsidR="003343C8" w:rsidRDefault="003343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D21F3" w:rsidRDefault="00FD21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D21F3" w:rsidRDefault="00FD21F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D21F3" w:rsidRDefault="00FD21F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D21F3" w:rsidRDefault="00FD21F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F66DE"/>
    <w:multiLevelType w:val="hybridMultilevel"/>
    <w:tmpl w:val="1B725E00"/>
    <w:lvl w:ilvl="0" w:tplc="BE9CD7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C5E54A6"/>
    <w:multiLevelType w:val="hybridMultilevel"/>
    <w:tmpl w:val="2E7A6F32"/>
    <w:lvl w:ilvl="0" w:tplc="A02AE59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0">
    <w15:presenceInfo w15:providerId="None" w15:userId="vivo-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D6"/>
    <w:rsid w:val="00004F69"/>
    <w:rsid w:val="00012761"/>
    <w:rsid w:val="0001327D"/>
    <w:rsid w:val="00021963"/>
    <w:rsid w:val="00022E4A"/>
    <w:rsid w:val="0002322B"/>
    <w:rsid w:val="00030F6E"/>
    <w:rsid w:val="00035F21"/>
    <w:rsid w:val="000360FC"/>
    <w:rsid w:val="00054CAA"/>
    <w:rsid w:val="00066A3A"/>
    <w:rsid w:val="00070E09"/>
    <w:rsid w:val="00074159"/>
    <w:rsid w:val="00080ED3"/>
    <w:rsid w:val="00083180"/>
    <w:rsid w:val="000861DF"/>
    <w:rsid w:val="0009080B"/>
    <w:rsid w:val="00091B33"/>
    <w:rsid w:val="00092EDF"/>
    <w:rsid w:val="000A44D5"/>
    <w:rsid w:val="000A6394"/>
    <w:rsid w:val="000B2691"/>
    <w:rsid w:val="000B40DC"/>
    <w:rsid w:val="000B5513"/>
    <w:rsid w:val="000B7FED"/>
    <w:rsid w:val="000C038A"/>
    <w:rsid w:val="000C6598"/>
    <w:rsid w:val="000C68FE"/>
    <w:rsid w:val="000D1DC8"/>
    <w:rsid w:val="000D44B3"/>
    <w:rsid w:val="000D7735"/>
    <w:rsid w:val="000E7EC6"/>
    <w:rsid w:val="000F1360"/>
    <w:rsid w:val="000F62D8"/>
    <w:rsid w:val="000F6E29"/>
    <w:rsid w:val="000F741A"/>
    <w:rsid w:val="00102D43"/>
    <w:rsid w:val="001046A0"/>
    <w:rsid w:val="00104D89"/>
    <w:rsid w:val="00110C2B"/>
    <w:rsid w:val="00135D4F"/>
    <w:rsid w:val="00136C0F"/>
    <w:rsid w:val="00145D43"/>
    <w:rsid w:val="00147DBA"/>
    <w:rsid w:val="00152EA9"/>
    <w:rsid w:val="00163DFF"/>
    <w:rsid w:val="00163F27"/>
    <w:rsid w:val="00170610"/>
    <w:rsid w:val="0017483F"/>
    <w:rsid w:val="00181814"/>
    <w:rsid w:val="001836F8"/>
    <w:rsid w:val="00192C46"/>
    <w:rsid w:val="001939E9"/>
    <w:rsid w:val="0019797D"/>
    <w:rsid w:val="001A08B3"/>
    <w:rsid w:val="001A474F"/>
    <w:rsid w:val="001A4E11"/>
    <w:rsid w:val="001A5A9D"/>
    <w:rsid w:val="001A7B60"/>
    <w:rsid w:val="001B52F0"/>
    <w:rsid w:val="001B7A65"/>
    <w:rsid w:val="001D283A"/>
    <w:rsid w:val="001D3FB2"/>
    <w:rsid w:val="001E1F35"/>
    <w:rsid w:val="001E41F3"/>
    <w:rsid w:val="002114E4"/>
    <w:rsid w:val="00232563"/>
    <w:rsid w:val="002437EB"/>
    <w:rsid w:val="00257516"/>
    <w:rsid w:val="0026004D"/>
    <w:rsid w:val="00261FF4"/>
    <w:rsid w:val="002640DD"/>
    <w:rsid w:val="00264BAA"/>
    <w:rsid w:val="00275D12"/>
    <w:rsid w:val="00284FEB"/>
    <w:rsid w:val="002860C4"/>
    <w:rsid w:val="002B5741"/>
    <w:rsid w:val="002B5761"/>
    <w:rsid w:val="002C5BD8"/>
    <w:rsid w:val="002C5D8A"/>
    <w:rsid w:val="002C5E60"/>
    <w:rsid w:val="002C702A"/>
    <w:rsid w:val="002C74B3"/>
    <w:rsid w:val="002E472E"/>
    <w:rsid w:val="002F6260"/>
    <w:rsid w:val="002F7130"/>
    <w:rsid w:val="00305409"/>
    <w:rsid w:val="00321142"/>
    <w:rsid w:val="003343C8"/>
    <w:rsid w:val="003442CC"/>
    <w:rsid w:val="003556EA"/>
    <w:rsid w:val="00357D3F"/>
    <w:rsid w:val="003609EF"/>
    <w:rsid w:val="0036231A"/>
    <w:rsid w:val="0036266B"/>
    <w:rsid w:val="00366F01"/>
    <w:rsid w:val="003703E5"/>
    <w:rsid w:val="00374DD4"/>
    <w:rsid w:val="00381D81"/>
    <w:rsid w:val="003A02FC"/>
    <w:rsid w:val="003A39A3"/>
    <w:rsid w:val="003B057D"/>
    <w:rsid w:val="003D3775"/>
    <w:rsid w:val="003D67B8"/>
    <w:rsid w:val="003E1A36"/>
    <w:rsid w:val="003E5F60"/>
    <w:rsid w:val="00405214"/>
    <w:rsid w:val="00410371"/>
    <w:rsid w:val="00417F56"/>
    <w:rsid w:val="004242F1"/>
    <w:rsid w:val="00440EBC"/>
    <w:rsid w:val="00443305"/>
    <w:rsid w:val="0044594B"/>
    <w:rsid w:val="00450B79"/>
    <w:rsid w:val="0046117E"/>
    <w:rsid w:val="004630DD"/>
    <w:rsid w:val="0046590C"/>
    <w:rsid w:val="0049341D"/>
    <w:rsid w:val="0049577A"/>
    <w:rsid w:val="00497914"/>
    <w:rsid w:val="004B75B7"/>
    <w:rsid w:val="004D0554"/>
    <w:rsid w:val="004D702A"/>
    <w:rsid w:val="005003AA"/>
    <w:rsid w:val="005103C2"/>
    <w:rsid w:val="005141D9"/>
    <w:rsid w:val="0051580D"/>
    <w:rsid w:val="005163D0"/>
    <w:rsid w:val="0051783B"/>
    <w:rsid w:val="00532B9D"/>
    <w:rsid w:val="00534930"/>
    <w:rsid w:val="00547111"/>
    <w:rsid w:val="005520A7"/>
    <w:rsid w:val="00555A72"/>
    <w:rsid w:val="0058611C"/>
    <w:rsid w:val="00590996"/>
    <w:rsid w:val="00592D74"/>
    <w:rsid w:val="00593602"/>
    <w:rsid w:val="005B19D6"/>
    <w:rsid w:val="005B6D7D"/>
    <w:rsid w:val="005D63D6"/>
    <w:rsid w:val="005E2C44"/>
    <w:rsid w:val="005E3897"/>
    <w:rsid w:val="005E5941"/>
    <w:rsid w:val="005F2619"/>
    <w:rsid w:val="006020F7"/>
    <w:rsid w:val="00604A8E"/>
    <w:rsid w:val="00621188"/>
    <w:rsid w:val="006257ED"/>
    <w:rsid w:val="00634858"/>
    <w:rsid w:val="0063642D"/>
    <w:rsid w:val="00647107"/>
    <w:rsid w:val="00652EB4"/>
    <w:rsid w:val="00653DE4"/>
    <w:rsid w:val="00654A62"/>
    <w:rsid w:val="00655F10"/>
    <w:rsid w:val="00665C47"/>
    <w:rsid w:val="00680624"/>
    <w:rsid w:val="00680A29"/>
    <w:rsid w:val="00681996"/>
    <w:rsid w:val="00683EB3"/>
    <w:rsid w:val="00690D47"/>
    <w:rsid w:val="006931A0"/>
    <w:rsid w:val="00695808"/>
    <w:rsid w:val="006B1514"/>
    <w:rsid w:val="006B20DB"/>
    <w:rsid w:val="006B25B8"/>
    <w:rsid w:val="006B429F"/>
    <w:rsid w:val="006B46FB"/>
    <w:rsid w:val="006B4E6F"/>
    <w:rsid w:val="006C1AF8"/>
    <w:rsid w:val="006C217C"/>
    <w:rsid w:val="006C4715"/>
    <w:rsid w:val="006D21B4"/>
    <w:rsid w:val="006D287A"/>
    <w:rsid w:val="006D68F8"/>
    <w:rsid w:val="006E0233"/>
    <w:rsid w:val="006E21FB"/>
    <w:rsid w:val="006E27B4"/>
    <w:rsid w:val="006E2BEF"/>
    <w:rsid w:val="006F05EB"/>
    <w:rsid w:val="006F4011"/>
    <w:rsid w:val="00700A9A"/>
    <w:rsid w:val="00704D4A"/>
    <w:rsid w:val="00707C0B"/>
    <w:rsid w:val="00707ED3"/>
    <w:rsid w:val="00734BC1"/>
    <w:rsid w:val="00746249"/>
    <w:rsid w:val="0075367B"/>
    <w:rsid w:val="007618D0"/>
    <w:rsid w:val="00766FE3"/>
    <w:rsid w:val="00775740"/>
    <w:rsid w:val="00776149"/>
    <w:rsid w:val="00776454"/>
    <w:rsid w:val="0078066C"/>
    <w:rsid w:val="00783177"/>
    <w:rsid w:val="007848FE"/>
    <w:rsid w:val="00792342"/>
    <w:rsid w:val="007977A8"/>
    <w:rsid w:val="007A048B"/>
    <w:rsid w:val="007A31A0"/>
    <w:rsid w:val="007A4835"/>
    <w:rsid w:val="007A7C16"/>
    <w:rsid w:val="007B512A"/>
    <w:rsid w:val="007B67ED"/>
    <w:rsid w:val="007C2097"/>
    <w:rsid w:val="007C3C8F"/>
    <w:rsid w:val="007D6A07"/>
    <w:rsid w:val="007E0A80"/>
    <w:rsid w:val="007E464F"/>
    <w:rsid w:val="007E4683"/>
    <w:rsid w:val="007F1AA6"/>
    <w:rsid w:val="007F7259"/>
    <w:rsid w:val="00802DEC"/>
    <w:rsid w:val="008040A8"/>
    <w:rsid w:val="00807DF6"/>
    <w:rsid w:val="00814EA9"/>
    <w:rsid w:val="008177F7"/>
    <w:rsid w:val="008279FA"/>
    <w:rsid w:val="00834C9F"/>
    <w:rsid w:val="0084622D"/>
    <w:rsid w:val="00851782"/>
    <w:rsid w:val="008626E7"/>
    <w:rsid w:val="00864693"/>
    <w:rsid w:val="00870EE7"/>
    <w:rsid w:val="0087772D"/>
    <w:rsid w:val="008863B9"/>
    <w:rsid w:val="00886A57"/>
    <w:rsid w:val="0088717E"/>
    <w:rsid w:val="008A0A70"/>
    <w:rsid w:val="008A45A6"/>
    <w:rsid w:val="008B251F"/>
    <w:rsid w:val="008C248E"/>
    <w:rsid w:val="008D3CCC"/>
    <w:rsid w:val="008F04C3"/>
    <w:rsid w:val="008F3789"/>
    <w:rsid w:val="008F686C"/>
    <w:rsid w:val="009074D1"/>
    <w:rsid w:val="009148DE"/>
    <w:rsid w:val="0092152A"/>
    <w:rsid w:val="0092426E"/>
    <w:rsid w:val="00941E30"/>
    <w:rsid w:val="009531B0"/>
    <w:rsid w:val="009552E1"/>
    <w:rsid w:val="00962BAB"/>
    <w:rsid w:val="00966B2B"/>
    <w:rsid w:val="009741B3"/>
    <w:rsid w:val="009777D9"/>
    <w:rsid w:val="00981E5F"/>
    <w:rsid w:val="00982B08"/>
    <w:rsid w:val="00991B88"/>
    <w:rsid w:val="009A5753"/>
    <w:rsid w:val="009A579D"/>
    <w:rsid w:val="009A66C6"/>
    <w:rsid w:val="009C2619"/>
    <w:rsid w:val="009C5B60"/>
    <w:rsid w:val="009D166F"/>
    <w:rsid w:val="009D1A58"/>
    <w:rsid w:val="009D2B8B"/>
    <w:rsid w:val="009D4EB2"/>
    <w:rsid w:val="009E3297"/>
    <w:rsid w:val="009E6B09"/>
    <w:rsid w:val="009F734F"/>
    <w:rsid w:val="00A0397B"/>
    <w:rsid w:val="00A07D7A"/>
    <w:rsid w:val="00A246B6"/>
    <w:rsid w:val="00A25C38"/>
    <w:rsid w:val="00A262E2"/>
    <w:rsid w:val="00A4479D"/>
    <w:rsid w:val="00A455B9"/>
    <w:rsid w:val="00A47E70"/>
    <w:rsid w:val="00A5001F"/>
    <w:rsid w:val="00A50B9E"/>
    <w:rsid w:val="00A50CF0"/>
    <w:rsid w:val="00A5286C"/>
    <w:rsid w:val="00A529C9"/>
    <w:rsid w:val="00A60121"/>
    <w:rsid w:val="00A6250B"/>
    <w:rsid w:val="00A639F3"/>
    <w:rsid w:val="00A75324"/>
    <w:rsid w:val="00A7542F"/>
    <w:rsid w:val="00A7671C"/>
    <w:rsid w:val="00A846CD"/>
    <w:rsid w:val="00A8560A"/>
    <w:rsid w:val="00A910D3"/>
    <w:rsid w:val="00A94F7B"/>
    <w:rsid w:val="00A95B67"/>
    <w:rsid w:val="00A96095"/>
    <w:rsid w:val="00AA2CBC"/>
    <w:rsid w:val="00AA4DFD"/>
    <w:rsid w:val="00AA5F63"/>
    <w:rsid w:val="00AC28D0"/>
    <w:rsid w:val="00AC5820"/>
    <w:rsid w:val="00AC6D53"/>
    <w:rsid w:val="00AD1CD8"/>
    <w:rsid w:val="00AD7BB6"/>
    <w:rsid w:val="00AE054B"/>
    <w:rsid w:val="00AE1F3F"/>
    <w:rsid w:val="00B21D0C"/>
    <w:rsid w:val="00B258BB"/>
    <w:rsid w:val="00B31398"/>
    <w:rsid w:val="00B352AC"/>
    <w:rsid w:val="00B437DB"/>
    <w:rsid w:val="00B50C5F"/>
    <w:rsid w:val="00B5450F"/>
    <w:rsid w:val="00B563E1"/>
    <w:rsid w:val="00B56BE1"/>
    <w:rsid w:val="00B67B97"/>
    <w:rsid w:val="00B72A7E"/>
    <w:rsid w:val="00B94BD0"/>
    <w:rsid w:val="00B968C8"/>
    <w:rsid w:val="00BA02CE"/>
    <w:rsid w:val="00BA3EC5"/>
    <w:rsid w:val="00BA51D9"/>
    <w:rsid w:val="00BA5B29"/>
    <w:rsid w:val="00BB43A7"/>
    <w:rsid w:val="00BB5DFC"/>
    <w:rsid w:val="00BC1B1A"/>
    <w:rsid w:val="00BC2D26"/>
    <w:rsid w:val="00BC32E9"/>
    <w:rsid w:val="00BC5D94"/>
    <w:rsid w:val="00BD129C"/>
    <w:rsid w:val="00BD279D"/>
    <w:rsid w:val="00BD6BB8"/>
    <w:rsid w:val="00BE3832"/>
    <w:rsid w:val="00BE662E"/>
    <w:rsid w:val="00BF35C4"/>
    <w:rsid w:val="00C10B70"/>
    <w:rsid w:val="00C14920"/>
    <w:rsid w:val="00C17F56"/>
    <w:rsid w:val="00C25A32"/>
    <w:rsid w:val="00C32334"/>
    <w:rsid w:val="00C325FA"/>
    <w:rsid w:val="00C41505"/>
    <w:rsid w:val="00C5324F"/>
    <w:rsid w:val="00C54857"/>
    <w:rsid w:val="00C557ED"/>
    <w:rsid w:val="00C55ADB"/>
    <w:rsid w:val="00C6107B"/>
    <w:rsid w:val="00C66BA2"/>
    <w:rsid w:val="00C73D86"/>
    <w:rsid w:val="00C81FF1"/>
    <w:rsid w:val="00C85A95"/>
    <w:rsid w:val="00C870F6"/>
    <w:rsid w:val="00C8790F"/>
    <w:rsid w:val="00C907B5"/>
    <w:rsid w:val="00C95985"/>
    <w:rsid w:val="00CA29D5"/>
    <w:rsid w:val="00CA3F29"/>
    <w:rsid w:val="00CB1F20"/>
    <w:rsid w:val="00CC5026"/>
    <w:rsid w:val="00CC68D0"/>
    <w:rsid w:val="00CC7FD6"/>
    <w:rsid w:val="00CD3F1E"/>
    <w:rsid w:val="00CE6843"/>
    <w:rsid w:val="00D03F9A"/>
    <w:rsid w:val="00D06D51"/>
    <w:rsid w:val="00D210F2"/>
    <w:rsid w:val="00D24991"/>
    <w:rsid w:val="00D27F1D"/>
    <w:rsid w:val="00D44C26"/>
    <w:rsid w:val="00D50255"/>
    <w:rsid w:val="00D51F63"/>
    <w:rsid w:val="00D52DD9"/>
    <w:rsid w:val="00D53588"/>
    <w:rsid w:val="00D556B2"/>
    <w:rsid w:val="00D66520"/>
    <w:rsid w:val="00D702A5"/>
    <w:rsid w:val="00D72DD6"/>
    <w:rsid w:val="00D74D9E"/>
    <w:rsid w:val="00D81B0D"/>
    <w:rsid w:val="00D83718"/>
    <w:rsid w:val="00D84AE9"/>
    <w:rsid w:val="00D9124E"/>
    <w:rsid w:val="00DA31A0"/>
    <w:rsid w:val="00DA44F5"/>
    <w:rsid w:val="00DA649F"/>
    <w:rsid w:val="00DB45B3"/>
    <w:rsid w:val="00DB6176"/>
    <w:rsid w:val="00DC241E"/>
    <w:rsid w:val="00DC5CB2"/>
    <w:rsid w:val="00DD68F1"/>
    <w:rsid w:val="00DE34CF"/>
    <w:rsid w:val="00DF0313"/>
    <w:rsid w:val="00DF2E9F"/>
    <w:rsid w:val="00E05D45"/>
    <w:rsid w:val="00E109CC"/>
    <w:rsid w:val="00E13F3D"/>
    <w:rsid w:val="00E13FF6"/>
    <w:rsid w:val="00E23988"/>
    <w:rsid w:val="00E25F1D"/>
    <w:rsid w:val="00E30798"/>
    <w:rsid w:val="00E332C5"/>
    <w:rsid w:val="00E34898"/>
    <w:rsid w:val="00E41EF0"/>
    <w:rsid w:val="00E42B1B"/>
    <w:rsid w:val="00E51BEF"/>
    <w:rsid w:val="00E56085"/>
    <w:rsid w:val="00E71574"/>
    <w:rsid w:val="00E737D7"/>
    <w:rsid w:val="00E752C6"/>
    <w:rsid w:val="00E80E8C"/>
    <w:rsid w:val="00E82A77"/>
    <w:rsid w:val="00E92CF2"/>
    <w:rsid w:val="00EA0E7C"/>
    <w:rsid w:val="00EA55FB"/>
    <w:rsid w:val="00EB09B7"/>
    <w:rsid w:val="00EB0CAF"/>
    <w:rsid w:val="00EB1D46"/>
    <w:rsid w:val="00EB6BC2"/>
    <w:rsid w:val="00EC1224"/>
    <w:rsid w:val="00EC4184"/>
    <w:rsid w:val="00EE398F"/>
    <w:rsid w:val="00EE51EF"/>
    <w:rsid w:val="00EE7D7C"/>
    <w:rsid w:val="00EF1067"/>
    <w:rsid w:val="00EF1103"/>
    <w:rsid w:val="00EF410D"/>
    <w:rsid w:val="00EF5378"/>
    <w:rsid w:val="00F11FAB"/>
    <w:rsid w:val="00F13613"/>
    <w:rsid w:val="00F25D98"/>
    <w:rsid w:val="00F300FB"/>
    <w:rsid w:val="00F370D2"/>
    <w:rsid w:val="00F414CF"/>
    <w:rsid w:val="00F41EFF"/>
    <w:rsid w:val="00F4256B"/>
    <w:rsid w:val="00F44E3D"/>
    <w:rsid w:val="00F539FC"/>
    <w:rsid w:val="00F614AB"/>
    <w:rsid w:val="00F72803"/>
    <w:rsid w:val="00F747B7"/>
    <w:rsid w:val="00F81080"/>
    <w:rsid w:val="00F813D8"/>
    <w:rsid w:val="00F87167"/>
    <w:rsid w:val="00F87FCA"/>
    <w:rsid w:val="00F91652"/>
    <w:rsid w:val="00FA1312"/>
    <w:rsid w:val="00FA50BD"/>
    <w:rsid w:val="00FA51CC"/>
    <w:rsid w:val="00FA55E4"/>
    <w:rsid w:val="00FA7928"/>
    <w:rsid w:val="00FB29A0"/>
    <w:rsid w:val="00FB54BE"/>
    <w:rsid w:val="00FB6386"/>
    <w:rsid w:val="00FC1539"/>
    <w:rsid w:val="00FD0A36"/>
    <w:rsid w:val="00FD21F3"/>
    <w:rsid w:val="00FD339A"/>
    <w:rsid w:val="00FE3086"/>
    <w:rsid w:val="00FE7B18"/>
    <w:rsid w:val="00FF5259"/>
    <w:rsid w:val="00FF61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7731AD-34FB-4254-B159-F3AB11E2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link w:val="EditorsNote"/>
    <w:rsid w:val="006B1514"/>
    <w:rPr>
      <w:rFonts w:ascii="Times New Roman" w:hAnsi="Times New Roman"/>
      <w:color w:val="FF0000"/>
      <w:lang w:val="en-GB" w:eastAsia="en-US"/>
    </w:rPr>
  </w:style>
  <w:style w:type="paragraph" w:styleId="af1">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20">
    <w:name w:val="标题 2 字符"/>
    <w:basedOn w:val="a0"/>
    <w:link w:val="2"/>
    <w:rsid w:val="00E51BEF"/>
    <w:rPr>
      <w:rFonts w:ascii="Arial" w:hAnsi="Arial"/>
      <w:sz w:val="32"/>
      <w:lang w:val="en-GB" w:eastAsia="en-US"/>
    </w:rPr>
  </w:style>
  <w:style w:type="character" w:customStyle="1" w:styleId="30">
    <w:name w:val="标题 3 字符"/>
    <w:basedOn w:val="a0"/>
    <w:link w:val="3"/>
    <w:rsid w:val="00E51BEF"/>
    <w:rPr>
      <w:rFonts w:ascii="Arial" w:hAnsi="Arial"/>
      <w:sz w:val="28"/>
      <w:lang w:val="en-GB" w:eastAsia="en-US"/>
    </w:rPr>
  </w:style>
  <w:style w:type="character" w:customStyle="1" w:styleId="40">
    <w:name w:val="标题 4 字符"/>
    <w:link w:val="4"/>
    <w:locked/>
    <w:rsid w:val="0002322B"/>
    <w:rPr>
      <w:rFonts w:ascii="Arial" w:hAnsi="Arial"/>
      <w:sz w:val="24"/>
      <w:lang w:val="en-GB" w:eastAsia="en-US"/>
    </w:rPr>
  </w:style>
  <w:style w:type="character" w:customStyle="1" w:styleId="ui-provider">
    <w:name w:val="ui-provider"/>
    <w:basedOn w:val="a0"/>
    <w:rsid w:val="0088717E"/>
  </w:style>
  <w:style w:type="character" w:customStyle="1" w:styleId="TFChar">
    <w:name w:val="TF Char"/>
    <w:link w:val="TF"/>
    <w:rsid w:val="006E27B4"/>
    <w:rPr>
      <w:rFonts w:ascii="Arial" w:hAnsi="Arial"/>
      <w:b/>
      <w:lang w:val="en-GB" w:eastAsia="en-US"/>
    </w:rPr>
  </w:style>
  <w:style w:type="paragraph" w:styleId="af2">
    <w:name w:val="List Paragraph"/>
    <w:basedOn w:val="a"/>
    <w:uiPriority w:val="34"/>
    <w:qFormat/>
    <w:rsid w:val="009E6B09"/>
    <w:pPr>
      <w:ind w:firstLineChars="200" w:firstLine="420"/>
    </w:pPr>
  </w:style>
  <w:style w:type="table" w:styleId="af3">
    <w:name w:val="Table Grid"/>
    <w:basedOn w:val="a1"/>
    <w:rsid w:val="002575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locked/>
    <w:rsid w:val="00004F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8463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1CE8FA-FF79-4BEC-99C0-C145ED324425}">
  <ds:schemaRefs>
    <ds:schemaRef ds:uri="http://schemas.microsoft.com/sharepoint/v3/contenttype/forms"/>
  </ds:schemaRefs>
</ds:datastoreItem>
</file>

<file path=customXml/itemProps2.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4.xml><?xml version="1.0" encoding="utf-8"?>
<ds:datastoreItem xmlns:ds="http://schemas.openxmlformats.org/officeDocument/2006/customXml" ds:itemID="{61BCEDD7-A5A2-4F1D-B2C7-EFD57020F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7</Pages>
  <Words>3003</Words>
  <Characters>17123</Characters>
  <Application>Microsoft Office Word</Application>
  <DocSecurity>0</DocSecurity>
  <Lines>142</Lines>
  <Paragraphs>40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20086</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이성준님(SeongJun Lee)/Core개발팀</dc:creator>
  <cp:keywords/>
  <cp:lastModifiedBy>vivo-2</cp:lastModifiedBy>
  <cp:revision>20</cp:revision>
  <cp:lastPrinted>1900-01-02T09:00:00Z</cp:lastPrinted>
  <dcterms:created xsi:type="dcterms:W3CDTF">2025-08-28T04:31:00Z</dcterms:created>
  <dcterms:modified xsi:type="dcterms:W3CDTF">2025-08-28T05:53:00Z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ies>
</file>